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ADC6C4">
      <w:pPr>
        <w:ind w:firstLine="883"/>
        <w:jc w:val="center"/>
        <w:rPr>
          <w:rFonts w:ascii="Times New Roman" w:hAnsi="Times New Roman"/>
          <w:b/>
          <w:sz w:val="44"/>
          <w:szCs w:val="44"/>
        </w:rPr>
      </w:pPr>
      <w:r>
        <w:rPr>
          <w:rFonts w:hint="eastAsia" w:ascii="Times New Roman" w:hAnsi="Times New Roman"/>
          <w:b/>
          <w:sz w:val="44"/>
          <w:szCs w:val="44"/>
        </w:rPr>
        <w:t>团体标准《化妆品用原料 金花茶提取物》</w:t>
      </w:r>
    </w:p>
    <w:p w14:paraId="53AEFFB4">
      <w:pPr>
        <w:ind w:firstLine="883"/>
        <w:jc w:val="center"/>
        <w:rPr>
          <w:rFonts w:ascii="Times New Roman" w:hAnsi="Times New Roman"/>
          <w:b/>
          <w:sz w:val="44"/>
          <w:szCs w:val="44"/>
        </w:rPr>
      </w:pPr>
      <w:r>
        <w:rPr>
          <w:rFonts w:hint="eastAsia" w:ascii="Times New Roman" w:hAnsi="Times New Roman"/>
          <w:b/>
          <w:sz w:val="44"/>
          <w:szCs w:val="44"/>
        </w:rPr>
        <w:t>（</w:t>
      </w:r>
      <w:r>
        <w:rPr>
          <w:rFonts w:hint="eastAsia" w:ascii="Times New Roman" w:hAnsi="Times New Roman"/>
          <w:b/>
          <w:color w:val="000000" w:themeColor="text1"/>
          <w:sz w:val="44"/>
          <w:szCs w:val="44"/>
          <w14:textFill>
            <w14:solidFill>
              <w14:schemeClr w14:val="tx1"/>
            </w14:solidFill>
          </w14:textFill>
        </w:rPr>
        <w:t>征求意见稿</w:t>
      </w:r>
      <w:r>
        <w:rPr>
          <w:rFonts w:hint="eastAsia" w:ascii="Times New Roman" w:hAnsi="Times New Roman"/>
          <w:b/>
          <w:sz w:val="44"/>
          <w:szCs w:val="44"/>
        </w:rPr>
        <w:t>）编制说明</w:t>
      </w:r>
    </w:p>
    <w:p w14:paraId="7B948690">
      <w:pPr>
        <w:ind w:firstLine="643"/>
        <w:rPr>
          <w:rFonts w:ascii="Times New Roman" w:hAnsi="Times New Roman"/>
          <w:b/>
        </w:rPr>
      </w:pPr>
    </w:p>
    <w:p w14:paraId="0BFB2AEA">
      <w:pPr>
        <w:spacing w:line="660" w:lineRule="exact"/>
        <w:ind w:firstLine="643"/>
        <w:rPr>
          <w:rFonts w:ascii="Times New Roman" w:hAnsi="Times New Roman"/>
          <w:b/>
        </w:rPr>
      </w:pPr>
      <w:r>
        <w:rPr>
          <w:rFonts w:ascii="Times New Roman" w:hAnsi="Times New Roman"/>
          <w:b/>
        </w:rPr>
        <w:t>一、项目来源</w:t>
      </w:r>
    </w:p>
    <w:p w14:paraId="3DAA1C5D">
      <w:pPr>
        <w:spacing w:line="660" w:lineRule="exact"/>
        <w:ind w:firstLine="640" w:firstLineChars="200"/>
        <w:rPr>
          <w:rFonts w:ascii="Times New Roman" w:hAnsi="Times New Roman"/>
        </w:rPr>
      </w:pPr>
      <w:r>
        <w:rPr>
          <w:rFonts w:hint="eastAsia" w:ascii="Times New Roman" w:hAnsi="Times New Roman"/>
        </w:rPr>
        <w:t>根据《广西标准化协会关于下达2025年第十九批团体标准制修订项目计划的通知》（桂标协〔2025〕141号）文件精神，由广西化妆品协会提出，广西和桂集团有限公司、广西壮族自治区药品检验研究院、广西化妆品协会、广西和桂生物工程有限公司、广西源生堂生物科技股份有限公司等单位共同起草的团体标准《化妆品用原料 金花茶提取物》（项目编号：</w:t>
      </w:r>
      <w:r>
        <w:rPr>
          <w:rFonts w:hint="eastAsia" w:ascii="Times New Roman" w:hAnsi="Times New Roman" w:eastAsia="仿宋_GB2312"/>
        </w:rPr>
        <w:t>2025</w:t>
      </w:r>
      <w:r>
        <w:rPr>
          <w:rFonts w:ascii="Times New Roman" w:hAnsi="Times New Roman" w:eastAsia="仿宋_GB2312"/>
        </w:rPr>
        <w:t>-</w:t>
      </w:r>
      <w:r>
        <w:rPr>
          <w:rFonts w:hint="eastAsia" w:ascii="Times New Roman" w:hAnsi="Times New Roman" w:eastAsia="仿宋_GB2312"/>
        </w:rPr>
        <w:t>1906</w:t>
      </w:r>
      <w:r>
        <w:rPr>
          <w:rFonts w:hint="eastAsia" w:ascii="Times New Roman" w:hAnsi="Times New Roman"/>
        </w:rPr>
        <w:t>），已获立项</w:t>
      </w:r>
      <w:r>
        <w:rPr>
          <w:rFonts w:ascii="Times New Roman" w:hAnsi="Times New Roman"/>
        </w:rPr>
        <w:t>。</w:t>
      </w:r>
    </w:p>
    <w:p w14:paraId="420EEEF5">
      <w:pPr>
        <w:numPr>
          <w:ilvl w:val="0"/>
          <w:numId w:val="10"/>
        </w:numPr>
        <w:spacing w:line="660" w:lineRule="exact"/>
        <w:ind w:firstLine="643"/>
        <w:rPr>
          <w:rFonts w:ascii="Times New Roman" w:hAnsi="Times New Roman"/>
          <w:b/>
        </w:rPr>
      </w:pPr>
      <w:r>
        <w:rPr>
          <w:rFonts w:ascii="Times New Roman" w:hAnsi="Times New Roman"/>
          <w:b/>
        </w:rPr>
        <w:t>项目背景及目的意义</w:t>
      </w:r>
    </w:p>
    <w:p w14:paraId="51F1F84E">
      <w:pPr>
        <w:numPr>
          <w:ilvl w:val="0"/>
          <w:numId w:val="11"/>
        </w:numPr>
        <w:spacing w:line="660" w:lineRule="exact"/>
        <w:ind w:firstLine="643" w:firstLineChars="200"/>
        <w:rPr>
          <w:rFonts w:ascii="Times New Roman" w:hAnsi="Times New Roman"/>
          <w:b/>
        </w:rPr>
      </w:pPr>
      <w:r>
        <w:rPr>
          <w:rFonts w:hint="eastAsia" w:ascii="Times New Roman" w:hAnsi="Times New Roman"/>
          <w:b/>
        </w:rPr>
        <w:t>项目背景</w:t>
      </w:r>
    </w:p>
    <w:p w14:paraId="4ACFB73B">
      <w:pPr>
        <w:spacing w:line="660" w:lineRule="exact"/>
        <w:rPr>
          <w:rFonts w:ascii="Times New Roman" w:hAnsi="Times New Roman"/>
          <w:b/>
        </w:rPr>
      </w:pPr>
      <w:r>
        <w:rPr>
          <w:rFonts w:hint="eastAsia" w:ascii="Times New Roman" w:hAnsi="Times New Roman"/>
          <w:b/>
        </w:rPr>
        <w:t xml:space="preserve">    1、植物提取物应用</w:t>
      </w:r>
    </w:p>
    <w:p w14:paraId="1DB525AE">
      <w:pPr>
        <w:spacing w:line="660" w:lineRule="exact"/>
        <w:ind w:firstLine="640" w:firstLineChars="200"/>
        <w:rPr>
          <w:rFonts w:ascii="Times New Roman" w:hAnsi="Times New Roman"/>
        </w:rPr>
      </w:pPr>
      <w:r>
        <w:rPr>
          <w:rFonts w:ascii="Times New Roman" w:hAnsi="Times New Roman"/>
        </w:rPr>
        <w:t>植物提取物</w:t>
      </w:r>
      <w:r>
        <w:rPr>
          <w:rFonts w:hint="eastAsia" w:ascii="Times New Roman" w:hAnsi="Times New Roman"/>
        </w:rPr>
        <w:t>作为化妆品用原料</w:t>
      </w:r>
      <w:r>
        <w:rPr>
          <w:rFonts w:ascii="Times New Roman" w:hAnsi="Times New Roman"/>
        </w:rPr>
        <w:t>呈现出市场规模增长、技术创新升级、功效诉求多元等发展趋势，具体如下：市场规模持续增长</w:t>
      </w:r>
      <w:r>
        <w:rPr>
          <w:rFonts w:hint="eastAsia" w:ascii="Times New Roman" w:hAnsi="Times New Roman"/>
        </w:rPr>
        <w:t>，</w:t>
      </w:r>
      <w:r>
        <w:rPr>
          <w:rFonts w:ascii="Times New Roman" w:hAnsi="Times New Roman"/>
        </w:rPr>
        <w:t>随着消费者对天然、绿色化妆品的需求增加，植物提取物在化妆品领域的应用逐渐普及。2022年全球植物提取物市场规模已达到 300亿美元，预计到 2025年将突破500亿美元，年均增长率保持在10%左右。其中，中国市场增长迅速，2022年规模约为800亿元人民币，预计到2025年将突破1200亿元人民币，年均增长率超过12%。越来越多的企业加大对植物提取技术的研发投入，通过先进的提取工艺，如超临界萃取、纳米包裹等，最大限度地保留植物中的有效成分，提高其稳定性和生物利用度。消费者对化妆品功效的需求日益多样化，植物提取物因其具有多种生物活性，可满足不同功效需求。</w:t>
      </w:r>
    </w:p>
    <w:p w14:paraId="4973567B">
      <w:pPr>
        <w:spacing w:line="660" w:lineRule="exact"/>
        <w:ind w:firstLine="640" w:firstLineChars="200"/>
        <w:rPr>
          <w:rFonts w:ascii="Times New Roman" w:hAnsi="Times New Roman"/>
        </w:rPr>
      </w:pPr>
      <w:r>
        <w:rPr>
          <w:rFonts w:ascii="Times New Roman" w:hAnsi="Times New Roman"/>
        </w:rPr>
        <w:t>中国特色植物原料引领潮流</w:t>
      </w:r>
      <w:r>
        <w:rPr>
          <w:rFonts w:hint="eastAsia" w:ascii="Times New Roman" w:hAnsi="Times New Roman"/>
        </w:rPr>
        <w:t>，</w:t>
      </w:r>
      <w:r>
        <w:rPr>
          <w:rFonts w:ascii="Times New Roman" w:hAnsi="Times New Roman"/>
        </w:rPr>
        <w:t>国货美妆品牌企业备案的新原料，大多为中国特色的植物原料。这些中国特色植物含有独特的活性成分，在抗氧化、抗炎等方面展现出卓越功效，预计未来将有更多中国特色植物原料被开发和应用。医学、药学、化学等多学科的跨界融合，为植物提取物在化妆品中的应用提供了新的思路和方法。通过整合多学科资源，能够挖掘出更多具有潜力的植物原料和技术，推动美妆产品在功效、安全性等方面实现质的飞跃。</w:t>
      </w:r>
    </w:p>
    <w:p w14:paraId="68C99774">
      <w:pPr>
        <w:spacing w:line="660" w:lineRule="exact"/>
        <w:ind w:firstLine="643" w:firstLineChars="200"/>
        <w:rPr>
          <w:rFonts w:ascii="Times New Roman" w:hAnsi="Times New Roman"/>
          <w:b/>
        </w:rPr>
      </w:pPr>
      <w:r>
        <w:rPr>
          <w:rFonts w:hint="eastAsia" w:ascii="Times New Roman" w:hAnsi="Times New Roman"/>
          <w:b/>
        </w:rPr>
        <w:t>2、金花茶提取物应用</w:t>
      </w:r>
    </w:p>
    <w:p w14:paraId="18C43720">
      <w:pPr>
        <w:spacing w:line="660" w:lineRule="exact"/>
        <w:ind w:firstLine="640" w:firstLineChars="200"/>
        <w:rPr>
          <w:rFonts w:ascii="Times New Roman" w:hAnsi="Times New Roman"/>
        </w:rPr>
      </w:pPr>
      <w:r>
        <w:rPr>
          <w:rFonts w:ascii="Times New Roman" w:hAnsi="Times New Roman"/>
        </w:rPr>
        <w:t>金花茶（</w:t>
      </w:r>
      <w:bookmarkStart w:id="0" w:name="OLE_LINK8"/>
      <w:r>
        <w:rPr>
          <w:rFonts w:hint="eastAsia" w:ascii="Times New Roman"/>
          <w:i/>
          <w:iCs/>
          <w:szCs w:val="21"/>
        </w:rPr>
        <w:t>Camellia petelotii</w:t>
      </w:r>
      <w:r>
        <w:rPr>
          <w:rFonts w:hint="eastAsia" w:ascii="Times New Roman"/>
        </w:rPr>
        <w:t>（Merrill）Sealy</w:t>
      </w:r>
      <w:bookmarkEnd w:id="0"/>
      <w:r>
        <w:rPr>
          <w:rFonts w:ascii="Times New Roman" w:hAnsi="Times New Roman"/>
        </w:rPr>
        <w:t>）</w:t>
      </w:r>
      <w:r>
        <w:fldChar w:fldCharType="begin"/>
      </w:r>
      <w:r>
        <w:instrText xml:space="preserve"> HYPERLINK "https://baike.sogou.com/lemma/ShowInnerLink.htm?lemmaId=130939" \t "_blank" </w:instrText>
      </w:r>
      <w:r>
        <w:fldChar w:fldCharType="separate"/>
      </w:r>
      <w:r>
        <w:rPr>
          <w:rFonts w:ascii="Times New Roman" w:hAnsi="Times New Roman"/>
        </w:rPr>
        <w:t>山茶科</w:t>
      </w:r>
      <w:r>
        <w:rPr>
          <w:rFonts w:ascii="Times New Roman" w:hAnsi="Times New Roman"/>
        </w:rPr>
        <w:fldChar w:fldCharType="end"/>
      </w:r>
      <w:r>
        <w:rPr>
          <w:rFonts w:ascii="Times New Roman" w:hAnsi="Times New Roman"/>
        </w:rPr>
        <w:t>山茶属植物，国家一级保护植物，被誉为</w:t>
      </w:r>
      <w:r>
        <w:rPr>
          <w:rFonts w:hint="eastAsia" w:ascii="Times New Roman" w:hAnsi="Times New Roman"/>
        </w:rPr>
        <w:t>“</w:t>
      </w:r>
      <w:r>
        <w:rPr>
          <w:rFonts w:ascii="Times New Roman" w:hAnsi="Times New Roman"/>
        </w:rPr>
        <w:t>植物界大熊猫</w:t>
      </w:r>
      <w:r>
        <w:rPr>
          <w:rFonts w:hint="eastAsia" w:ascii="Times New Roman" w:hAnsi="Times New Roman"/>
        </w:rPr>
        <w:t>”</w:t>
      </w:r>
      <w:r>
        <w:rPr>
          <w:rFonts w:ascii="Times New Roman" w:hAnsi="Times New Roman"/>
        </w:rPr>
        <w:t>、</w:t>
      </w:r>
      <w:bookmarkStart w:id="1" w:name="OLE_LINK19"/>
      <w:r>
        <w:rPr>
          <w:rFonts w:hint="eastAsia" w:ascii="Times New Roman" w:hAnsi="Times New Roman"/>
        </w:rPr>
        <w:t>“</w:t>
      </w:r>
      <w:bookmarkEnd w:id="1"/>
      <w:r>
        <w:rPr>
          <w:rFonts w:ascii="Times New Roman" w:hAnsi="Times New Roman"/>
        </w:rPr>
        <w:t>茶族皇后</w:t>
      </w:r>
      <w:r>
        <w:rPr>
          <w:rFonts w:hint="eastAsia" w:ascii="Times New Roman" w:hAnsi="Times New Roman"/>
        </w:rPr>
        <w:t>”</w:t>
      </w:r>
      <w:r>
        <w:rPr>
          <w:rFonts w:ascii="Times New Roman" w:hAnsi="Times New Roman"/>
        </w:rPr>
        <w:t>。金花茶是一种古老且极为罕见的植物，分布极其狭窄，全世界90%的野生金花茶仅分布于中国广西</w:t>
      </w:r>
      <w:r>
        <w:fldChar w:fldCharType="begin"/>
      </w:r>
      <w:r>
        <w:instrText xml:space="preserve"> HYPERLINK "https://baike.sogou.com/lemma/ShowInnerLink.htm?lemmaId=135930&amp;ss_c=ssc.citiao.link" \t "_blank" </w:instrText>
      </w:r>
      <w:r>
        <w:fldChar w:fldCharType="separate"/>
      </w:r>
      <w:r>
        <w:rPr>
          <w:rFonts w:ascii="Times New Roman" w:hAnsi="Times New Roman"/>
        </w:rPr>
        <w:t>防城港市</w:t>
      </w:r>
      <w:r>
        <w:rPr>
          <w:rFonts w:ascii="Times New Roman" w:hAnsi="Times New Roman"/>
        </w:rPr>
        <w:fldChar w:fldCharType="end"/>
      </w:r>
      <w:r>
        <w:rPr>
          <w:rFonts w:ascii="Times New Roman" w:hAnsi="Times New Roman"/>
        </w:rPr>
        <w:t>十万大山一带，生长于海拔200～500米之间的范围。近年研究发现金花茶含有黄酮类化合物、多糖、皂苷</w:t>
      </w:r>
      <w:r>
        <w:rPr>
          <w:rFonts w:hint="eastAsia" w:ascii="Times New Roman" w:hAnsi="Times New Roman"/>
        </w:rPr>
        <w:t>和多酚</w:t>
      </w:r>
      <w:r>
        <w:rPr>
          <w:rFonts w:ascii="Times New Roman" w:hAnsi="Times New Roman"/>
        </w:rPr>
        <w:t>等多种生物活性成分，具有抗肿瘤、抗菌、抗炎、抗氧化、调血脂、降血糖、抗过敏、抗衰老等药理作用。金花茶为我国广西地区的少数民族常用药。《广西中药材标准》记载金花茶具有收敛止血的功效，主要用于治疗便血、月经过多等。作为一种天然且功效显著的化妆品原料，具有广阔的应用前景，未来将朝着技术创新、产业协同等方向发展。具体如下：</w:t>
      </w:r>
    </w:p>
    <w:p w14:paraId="3A839560">
      <w:pPr>
        <w:spacing w:line="660" w:lineRule="exact"/>
        <w:ind w:firstLine="643" w:firstLineChars="200"/>
        <w:rPr>
          <w:rFonts w:ascii="Times New Roman" w:hAnsi="Times New Roman"/>
        </w:rPr>
      </w:pPr>
      <w:r>
        <w:rPr>
          <w:rFonts w:ascii="Times New Roman" w:hAnsi="Times New Roman"/>
          <w:b/>
          <w:bCs/>
        </w:rPr>
        <w:t>市场需求旺盛</w:t>
      </w:r>
      <w:r>
        <w:rPr>
          <w:rFonts w:ascii="Times New Roman" w:hAnsi="Times New Roman"/>
        </w:rPr>
        <w:t>：消费者对天然、高效、安全护肤品的需求日益增长，金花茶提取物作为天然植物成分，符合这一趋势。山茶花提取物市场已取得良好反响，消费者对其护肤功效有一定认知，为金花茶提取物的市场推广奠定了基础。根据简乐尚博的报告，2024 年全球金花茶提取物市场规模大约为1.29亿美元，预计2031年达到2.97亿美元，2025-2031期间年复合增长率（CAGR）为6.6%。从化妆品级金花茶提取物来看，据麦田创投产业研究院统计及预测，2024年全球化妆品级金花茶提取物市场销售额达到了4.666 亿元，预计2031年将达到7.205亿元，2025-2031年年复合增长率为6.3%。</w:t>
      </w:r>
    </w:p>
    <w:p w14:paraId="65065A0A">
      <w:pPr>
        <w:spacing w:line="660" w:lineRule="exact"/>
        <w:ind w:firstLine="643" w:firstLineChars="200"/>
        <w:rPr>
          <w:rFonts w:ascii="Times New Roman" w:hAnsi="Times New Roman"/>
        </w:rPr>
      </w:pPr>
      <w:r>
        <w:rPr>
          <w:rFonts w:ascii="Times New Roman" w:hAnsi="Times New Roman"/>
          <w:b/>
          <w:bCs/>
        </w:rPr>
        <w:t>功效优势突出</w:t>
      </w:r>
      <w:r>
        <w:rPr>
          <w:rFonts w:ascii="Times New Roman" w:hAnsi="Times New Roman"/>
        </w:rPr>
        <w:t>：金花茶富含黄酮类、多酚、皂苷及多糖等 400 余种活性成分，具有抗氧化、抗皱、保湿、抗炎等功效，在抗衰、修护屏障及头皮健康等领域表现卓越，可满足消费者多种护肤需求，能广泛应用于护肤品、护发产品等多种化妆品品类中。</w:t>
      </w:r>
      <w:r>
        <w:rPr>
          <w:rFonts w:hint="eastAsia" w:ascii="Times New Roman" w:hAnsi="Times New Roman"/>
        </w:rPr>
        <w:t>金花茶提</w:t>
      </w:r>
      <w:r>
        <w:rPr>
          <w:rFonts w:ascii="Times New Roman" w:hAnsi="Times New Roman"/>
        </w:rPr>
        <w:t>取物的抗氧化、抗皱、保湿、抗炎等功效与其丰富的活性成分密切相关，金花茶提取物通过多成分、多靶点协同作用，在皮肤抗氧化、抗皱、保湿及抗炎等方面展现出显著功效，且其天然安全性高，适配敏感肌、衰老肌等多种肤质。未来随着提取技术升级和配方优化，其在高端护肤品、功能性个护产品中的应用潜力将进一步释放。</w:t>
      </w:r>
    </w:p>
    <w:p w14:paraId="3FB92D7D">
      <w:pPr>
        <w:spacing w:line="660" w:lineRule="exact"/>
        <w:ind w:firstLine="643" w:firstLineChars="200"/>
        <w:rPr>
          <w:rFonts w:ascii="Times New Roman" w:hAnsi="Times New Roman"/>
        </w:rPr>
      </w:pPr>
      <w:r>
        <w:rPr>
          <w:rFonts w:ascii="Times New Roman" w:hAnsi="Times New Roman"/>
          <w:b/>
          <w:bCs/>
        </w:rPr>
        <w:t>政策支持助力：</w:t>
      </w:r>
      <w:r>
        <w:rPr>
          <w:rFonts w:ascii="Times New Roman" w:hAnsi="Times New Roman"/>
        </w:rPr>
        <w:t>国家鼓励化妆品新原料研发，广西政府将金花茶列为 “壮瑶医药振兴工程” 重点扶持对象，通过专项政策推动其种植、研发及深加工全产业链发展，为金花茶提取物在化妆品中的应用提供了良好的政策环境。</w:t>
      </w:r>
    </w:p>
    <w:p w14:paraId="3E12F7EA">
      <w:pPr>
        <w:spacing w:line="660" w:lineRule="exact"/>
        <w:ind w:firstLine="643" w:firstLineChars="200"/>
        <w:rPr>
          <w:rFonts w:ascii="Times New Roman" w:hAnsi="Times New Roman"/>
        </w:rPr>
      </w:pPr>
      <w:r>
        <w:rPr>
          <w:rFonts w:ascii="Times New Roman" w:hAnsi="Times New Roman"/>
          <w:b/>
          <w:bCs/>
        </w:rPr>
        <w:t>国货品牌机遇：</w:t>
      </w:r>
      <w:r>
        <w:rPr>
          <w:rFonts w:ascii="Times New Roman" w:hAnsi="Times New Roman"/>
        </w:rPr>
        <w:t>金花茶是中国特色植物资源，随着国货美妆品牌崛起，利用本土特色植物原料成为竞争优势之一。金花茶提取物有望成为国产化妆品企业走向世界的一张原料 “新名片”，助力国货品牌在全球市场竞争中脱颖而出。</w:t>
      </w:r>
    </w:p>
    <w:p w14:paraId="78BDAE3C">
      <w:pPr>
        <w:spacing w:line="660" w:lineRule="exact"/>
        <w:ind w:firstLine="643" w:firstLineChars="200"/>
        <w:rPr>
          <w:rFonts w:ascii="Times New Roman" w:hAnsi="Times New Roman"/>
        </w:rPr>
      </w:pPr>
      <w:r>
        <w:rPr>
          <w:rFonts w:ascii="Times New Roman" w:hAnsi="Times New Roman"/>
          <w:b/>
          <w:bCs/>
        </w:rPr>
        <w:t>提取技术创新：</w:t>
      </w:r>
      <w:r>
        <w:rPr>
          <w:rFonts w:ascii="Times New Roman" w:hAnsi="Times New Roman"/>
        </w:rPr>
        <w:t>和桂集团研发出的 “低温定向萃取+分子活性稳定技术”，将生物活性保留率提升至98%。未来，随着技术发展，会有更多高效、环保的提取技术出现，进一步提高金花茶提取物的纯度、活性和稳定性，降低生产成本。</w:t>
      </w:r>
    </w:p>
    <w:p w14:paraId="1FD23906">
      <w:pPr>
        <w:spacing w:line="660" w:lineRule="exact"/>
        <w:ind w:firstLine="643" w:firstLineChars="200"/>
        <w:rPr>
          <w:rFonts w:ascii="Times New Roman" w:hAnsi="Times New Roman"/>
        </w:rPr>
      </w:pPr>
      <w:r>
        <w:rPr>
          <w:rFonts w:ascii="Times New Roman" w:hAnsi="Times New Roman"/>
          <w:b/>
          <w:bCs/>
        </w:rPr>
        <w:t>产品多元化开发</w:t>
      </w:r>
      <w:r>
        <w:rPr>
          <w:rFonts w:hint="eastAsia" w:ascii="Times New Roman" w:hAnsi="Times New Roman"/>
          <w:b/>
          <w:bCs/>
        </w:rPr>
        <w:t>：</w:t>
      </w:r>
      <w:r>
        <w:rPr>
          <w:rFonts w:ascii="Times New Roman" w:hAnsi="Times New Roman"/>
        </w:rPr>
        <w:t>目前已有企业将金花茶提取物应用于养发产品，未来其在护肤、口腔护理等领域的应用将不断拓展，会有更多类型的化妆品问世，如面霜、精华、洁面产品等，满足不同消费者的需求。</w:t>
      </w:r>
    </w:p>
    <w:p w14:paraId="5EE24D28">
      <w:pPr>
        <w:pStyle w:val="16"/>
        <w:spacing w:line="660" w:lineRule="exact"/>
        <w:ind w:firstLine="643" w:firstLineChars="200"/>
        <w:rPr>
          <w:rFonts w:ascii="Times New Roman" w:hAnsi="Times New Roman"/>
          <w:b/>
        </w:rPr>
      </w:pPr>
      <w:r>
        <w:rPr>
          <w:rFonts w:ascii="Times New Roman" w:hAnsi="Times New Roman"/>
          <w:b/>
        </w:rPr>
        <w:t>（二）</w:t>
      </w:r>
      <w:r>
        <w:rPr>
          <w:rFonts w:hint="eastAsia" w:ascii="Times New Roman" w:hAnsi="Times New Roman"/>
          <w:b/>
        </w:rPr>
        <w:t>目的意义</w:t>
      </w:r>
    </w:p>
    <w:p w14:paraId="2AB6D74B">
      <w:pPr>
        <w:pStyle w:val="16"/>
        <w:spacing w:line="660" w:lineRule="exact"/>
        <w:ind w:firstLine="800" w:firstLineChars="250"/>
        <w:rPr>
          <w:rFonts w:ascii="Times New Roman" w:hAnsi="Times New Roman"/>
        </w:rPr>
      </w:pPr>
      <w:r>
        <w:rPr>
          <w:rFonts w:hint="eastAsia" w:ascii="Times New Roman" w:hAnsi="Times New Roman"/>
        </w:rPr>
        <w:t>2010年中华人民共和国卫生部第9号公告批准金花茶（叶）为新资源食品，由于金花茶是世界珍稀的观赏植物和种质资源，国家重视金花茶的保护和开发利用。随着金花茶“在保护中开发，在开发中保护”战略的实施，将金花茶的经济价值开发出来并形成产业，才能使金花茶这一珍稀资源得到最有效的保护这一观点逐渐成为共识。目前，与金花茶相关的保健食品、食品的研发逐步成为主流，但在化妆品中的研究很少，国外对此还未有研究，而金花茶叶的特性表现出极高的利用价值。因此，金花茶叶及其提取物在化妆品市场的研发利用，具有拓展市场、延长产业链和附加价值的重要意义。随着市场上对于天然植物功效化妆品的热潮追捧，含有金花茶叶活性成分的化妆品能够填补市场的空白。2023年9月12日卫健委受理了金花茶（花朵）作为新食品原料的申请。这将为金花茶在食品领域的开发提供了法律依据。在</w:t>
      </w:r>
      <w:r>
        <w:fldChar w:fldCharType="begin"/>
      </w:r>
      <w:r>
        <w:instrText xml:space="preserve"> HYPERLINK "https://www.so.com/link?m=zemQ9%2FJQTwSZFp9ODXAkFgMPjbNmdbdpmx7BC3Q22dinhF9PpSPp41lLpl9xHCYPAlEUicpJh%2BINkvGyuimzFnOeTrn5du16e2FrSwqEF6xYyE%2FIeHYPwbaH4Up%2BYnPE1bFTHOf1VJBEqhCYKAwNkrI1vtfe25hhMpiCSgSG%2BzrwL3bj4ZkxV8eUOXTY%3D" \t "_blank" </w:instrText>
      </w:r>
      <w:r>
        <w:fldChar w:fldCharType="separate"/>
      </w:r>
      <w:r>
        <w:rPr>
          <w:rFonts w:hint="eastAsia" w:ascii="Times New Roman" w:hAnsi="Times New Roman"/>
        </w:rPr>
        <w:t>广西壮族自治区市场监督管理局</w:t>
      </w:r>
      <w:r>
        <w:rPr>
          <w:rFonts w:hint="eastAsia" w:ascii="Times New Roman" w:hAnsi="Times New Roman"/>
        </w:rPr>
        <w:fldChar w:fldCharType="end"/>
      </w:r>
      <w:r>
        <w:rPr>
          <w:rFonts w:hint="eastAsia" w:ascii="Times New Roman" w:hAnsi="Times New Roman"/>
        </w:rPr>
        <w:t>的指导帮助下，广西和桂集团有限公司已经成功将“金花茶花提取物”和“金花茶叶提取物”两款化妆品新原料正式通过国家药品监督管理局备案（备案号：国妆原备字20250024，20250025）。</w:t>
      </w:r>
    </w:p>
    <w:p w14:paraId="436E10F8">
      <w:pPr>
        <w:pStyle w:val="16"/>
        <w:spacing w:line="660" w:lineRule="exact"/>
        <w:ind w:firstLine="800" w:firstLineChars="250"/>
        <w:rPr>
          <w:rFonts w:ascii="Times New Roman" w:hAnsi="Times New Roman"/>
        </w:rPr>
      </w:pPr>
      <w:r>
        <w:rPr>
          <w:rFonts w:hint="eastAsia" w:ascii="Times New Roman" w:hAnsi="Times New Roman"/>
        </w:rPr>
        <w:t>此外，金花茶提取物的应用不仅有助于提升化妆品的品质和功效，还能促进化妆品行业的创新与发展。通过深入研究金花茶提取物的活性成分及其作用机制，可以为化妆品的研发提供新的思路和方向，推动行业向更加科学、高效、环保的方向发展。同时，金花茶提取物的广泛应用也将带动相关产业链的发展，包括金花茶的种植、加工、提取等环节，形成良性循环，为地方经济的发展注入新的活力。因此，制定金花茶提取物在化妆品中的应用标准，不仅具有理论意义，更具有重要的实践价值。</w:t>
      </w:r>
    </w:p>
    <w:p w14:paraId="708DC0D3">
      <w:pPr>
        <w:pStyle w:val="16"/>
        <w:spacing w:line="660" w:lineRule="exact"/>
        <w:ind w:firstLine="800" w:firstLineChars="250"/>
        <w:rPr>
          <w:rFonts w:ascii="Times New Roman" w:hAnsi="Times New Roman"/>
        </w:rPr>
      </w:pPr>
      <w:r>
        <w:rPr>
          <w:rFonts w:hint="eastAsia" w:ascii="Times New Roman" w:hAnsi="Times New Roman"/>
        </w:rPr>
        <w:t>通过制定团体标准《化妆品用原料 金花茶提取物》，以标准化的方式细化技术指标，明确金花茶提取物的标志性成分黄酮的含量要求，填补标准空白，对推动金花茶提取物在化妆品中广泛使用、规范市场秩序、推动产业规范化具有重要意义。同时，结合国家“健康中国”战略，通过标准引导企业开发高附加值产品，助力广西等地特色植物资源产业化，将加快金花茶提取物在化妆品领域的开发利用，满足企业化妆品产品线拓展需要、推动金花茶产业链的纵深发展，促进广西地方经济的发展。该标准的制定还有助于提升消费者对金花茶提取物化妆品的认知度和信任度，增强市场竞争力。通过标准化的管理和监督，可以确保金花茶提取物化妆品的质量和安全，保障消费者的权益，进一步推动化妆品行业的健康发展。同时，该标准的实施也将促进国内外交流与合作，提高我国化妆品行业的国际竞争力，为金花茶提取物化妆品的国际化发展奠定基础。</w:t>
      </w:r>
    </w:p>
    <w:p w14:paraId="092B4A7A">
      <w:pPr>
        <w:spacing w:line="660" w:lineRule="exact"/>
        <w:ind w:firstLine="643"/>
        <w:rPr>
          <w:rFonts w:ascii="Times New Roman" w:hAnsi="Times New Roman"/>
          <w:b/>
        </w:rPr>
      </w:pPr>
      <w:r>
        <w:rPr>
          <w:rFonts w:ascii="Times New Roman" w:hAnsi="Times New Roman"/>
          <w:b/>
        </w:rPr>
        <w:t>三、项目编制过程</w:t>
      </w:r>
    </w:p>
    <w:p w14:paraId="5CD4EC7B">
      <w:pPr>
        <w:spacing w:line="660" w:lineRule="exact"/>
        <w:ind w:firstLine="482" w:firstLineChars="150"/>
        <w:rPr>
          <w:rFonts w:ascii="Times New Roman" w:hAnsi="Times New Roman"/>
          <w:b/>
        </w:rPr>
      </w:pPr>
      <w:r>
        <w:rPr>
          <w:rFonts w:ascii="Times New Roman" w:hAnsi="Times New Roman"/>
          <w:b/>
        </w:rPr>
        <w:t>（一）成立标准编制工作组</w:t>
      </w:r>
    </w:p>
    <w:p w14:paraId="6F81136E">
      <w:pPr>
        <w:spacing w:line="660" w:lineRule="exact"/>
        <w:ind w:firstLine="640" w:firstLineChars="200"/>
        <w:rPr>
          <w:rFonts w:ascii="Times New Roman" w:hAnsi="Times New Roman"/>
        </w:rPr>
      </w:pPr>
      <w:r>
        <w:rPr>
          <w:rFonts w:hint="eastAsia" w:ascii="Times New Roman" w:hAnsi="Times New Roman"/>
        </w:rPr>
        <w:t>团体标准《化妆品用原料  金花茶提取物》项目任务下达后，广西和桂集团有限公司作为第一起草单位，牵头成立了标准编制工作组，制定了起草编写方案与进度安排，明确任务职责，确定实践验证路线，开展标准研制工作。具体标准编制工作由广西和桂集团有限公司、广西壮族自治区药品检验研究院、广西化妆品协会、广西和桂生物工程有限公司、广西源生堂生物科技股份有限公司等起草单位组成标准编制工作组，编制工作组下设三个组，分别是资料收集组、草案编写组、标准实施组。</w:t>
      </w:r>
    </w:p>
    <w:p w14:paraId="45D3609E">
      <w:pPr>
        <w:spacing w:line="660" w:lineRule="exact"/>
        <w:ind w:firstLine="640" w:firstLineChars="200"/>
        <w:rPr>
          <w:rFonts w:ascii="Times New Roman" w:hAnsi="Times New Roman"/>
        </w:rPr>
      </w:pPr>
      <w:r>
        <w:rPr>
          <w:rFonts w:hint="eastAsia" w:ascii="Times New Roman" w:hAnsi="Times New Roman"/>
        </w:rPr>
        <w:t>资料收集组的主要职责是系统性地开展国内外关于金花茶提取物及其他植物提取物在化妆品领域应用的相关文献检索、信息采集与数据整理工作。该小组需要全面查阅各类学术期刊、研究报告、专利文献等资料，重点关注金花茶提取物的化学成分分析、药理活性研究、安全性评估以及在护肤品、彩妆等化妆品中的实际应用情况。同时，还需追踪国内外最新研究动态，及时整理汇总金花茶提取物的研究进展、应用前景及潜在价值，为后续产品研发提供详实的文献依据和数据支持。</w:t>
      </w:r>
    </w:p>
    <w:p w14:paraId="592E5867">
      <w:pPr>
        <w:spacing w:line="660" w:lineRule="exact"/>
        <w:ind w:firstLine="640" w:firstLineChars="200"/>
        <w:rPr>
          <w:rFonts w:ascii="Times New Roman" w:hAnsi="Times New Roman"/>
        </w:rPr>
      </w:pPr>
      <w:r>
        <w:rPr>
          <w:rFonts w:hint="eastAsia" w:ascii="Times New Roman" w:hAnsi="Times New Roman"/>
        </w:rPr>
        <w:t>草案编写组作为标准制定过程中的核心工作团队，主要负责标准文本的全流程起草与修订工作。具体而言，其工作职责包括：首先，负责标准草案的初始起草工作，这是标准制定的基础性环节；其次，根据标准制定程序要求，完成征求意见稿及其配套编制说明的编写；再次，在标准送审阶段，负责送审稿及相应编制说明的撰写工作。此外，草案编写组还需承担标准制定过程中的各项配套工作：包括组织线下征求意见会议，广泛听取各方意见；开展线上征求意见活动，扩大意见征集范围；以及根据收集到的反馈意见，对标准文本进行反复修改和持续优化，直至形成最终版本。在整个标准制定周期内，草案编写组都需要保持高度的专业性和责任心，确保标准文本的质量和适用性。</w:t>
      </w:r>
    </w:p>
    <w:p w14:paraId="62023A70">
      <w:pPr>
        <w:spacing w:line="660" w:lineRule="exact"/>
        <w:ind w:firstLine="640" w:firstLineChars="200"/>
        <w:rPr>
          <w:rFonts w:ascii="Times New Roman" w:hAnsi="Times New Roman"/>
        </w:rPr>
      </w:pPr>
      <w:r>
        <w:rPr>
          <w:rFonts w:hint="eastAsia" w:ascii="Times New Roman" w:hAnsi="Times New Roman"/>
        </w:rPr>
        <w:t>标准实施组作为《化妆品用原料 金花茶提取物》团体标准的重要执行机构，在标准正式发布后承担着关键的推广和实施工作。该小组将在药品监督管理部门的专业指导下，联合化妆品生产企业、原料供应商、科研院所等产业链相关单位，以及行业协会，共同组织开展多层次、全方位的标准宣贯培训活动。通过举办专题研讨会、技术交流会等形式，对标准的技术要求、检测方法、质量控制等核心内容进行系统化、专业化的详细解读，确保化妆品行业从业人员能够准确理解和掌握标准的具体要求。同时，标准实施组还将建立完善的跟踪反馈机制，定期收集标准在实际应用中的执行情况，组织专家对标准实施效果进行科学评估和全面总结分析，并根据行业发展需求和技术进步，持续向标准制定机构提出具有建设性的修订完善建议，推动团体标准不断优化升级。</w:t>
      </w:r>
    </w:p>
    <w:p w14:paraId="0A88BE6C">
      <w:pPr>
        <w:spacing w:line="660" w:lineRule="exact"/>
        <w:ind w:firstLine="643"/>
        <w:rPr>
          <w:rFonts w:ascii="Times New Roman" w:hAnsi="Times New Roman"/>
          <w:b/>
        </w:rPr>
      </w:pPr>
      <w:r>
        <w:rPr>
          <w:rFonts w:hint="eastAsia" w:ascii="Times New Roman" w:hAnsi="Times New Roman"/>
          <w:b/>
        </w:rPr>
        <w:t>（二）查询标准及文献资料</w:t>
      </w:r>
    </w:p>
    <w:p w14:paraId="3AFDDFA5">
      <w:pPr>
        <w:spacing w:line="660" w:lineRule="exact"/>
        <w:ind w:firstLine="640" w:firstLineChars="200"/>
        <w:rPr>
          <w:rFonts w:hint="eastAsia" w:ascii="Times New Roman" w:hAnsi="Times New Roman"/>
        </w:rPr>
      </w:pPr>
      <w:r>
        <w:rPr>
          <w:rFonts w:hint="eastAsia" w:ascii="Times New Roman" w:hAnsi="Times New Roman"/>
        </w:rPr>
        <w:t>标准编制工作组收集了国内有关金花茶提取物以及其它植物提取物在化妆品生产环节的使用</w:t>
      </w:r>
      <w:r>
        <w:rPr>
          <w:rFonts w:ascii="Times New Roman" w:hAnsi="Times New Roman"/>
        </w:rPr>
        <w:t>的相关资料，</w:t>
      </w:r>
      <w:r>
        <w:rPr>
          <w:rFonts w:hint="eastAsia" w:ascii="Times New Roman" w:hAnsi="Times New Roman"/>
        </w:rPr>
        <w:t>主要有：</w:t>
      </w:r>
    </w:p>
    <w:p w14:paraId="19FF4BBE">
      <w:pPr>
        <w:spacing w:line="660" w:lineRule="exact"/>
        <w:ind w:firstLine="640" w:firstLineChars="200"/>
        <w:rPr>
          <w:rFonts w:hint="eastAsia" w:ascii="Times New Roman" w:hAnsi="Times New Roman"/>
        </w:rPr>
      </w:pPr>
      <w:r>
        <w:rPr>
          <w:rFonts w:hint="eastAsia" w:ascii="Times New Roman" w:hAnsi="Times New Roman"/>
        </w:rPr>
        <w:t>GB7916</w:t>
      </w:r>
      <w:r>
        <w:rPr>
          <w:rFonts w:hint="eastAsia" w:ascii="Times New Roman" w:hAnsi="Times New Roman"/>
          <w:lang w:val="en-US" w:eastAsia="zh-CN"/>
        </w:rPr>
        <w:t xml:space="preserve">-1987  </w:t>
      </w:r>
      <w:r>
        <w:rPr>
          <w:rFonts w:hint="eastAsia" w:ascii="Times New Roman" w:hAnsi="Times New Roman"/>
        </w:rPr>
        <w:t>化妆品卫生标准</w:t>
      </w:r>
    </w:p>
    <w:p w14:paraId="38798F70">
      <w:pPr>
        <w:pStyle w:val="175"/>
        <w:spacing w:line="660" w:lineRule="exact"/>
        <w:ind w:firstLine="640"/>
        <w:rPr>
          <w:rFonts w:ascii="Times New Roman" w:eastAsia="仿宋"/>
          <w:color w:val="000000"/>
          <w:kern w:val="2"/>
          <w:sz w:val="32"/>
          <w:szCs w:val="32"/>
        </w:rPr>
      </w:pPr>
      <w:r>
        <w:rPr>
          <w:rFonts w:hint="eastAsia" w:ascii="Times New Roman" w:eastAsia="仿宋"/>
          <w:color w:val="000000"/>
          <w:kern w:val="2"/>
          <w:sz w:val="32"/>
          <w:szCs w:val="32"/>
        </w:rPr>
        <w:t>GB/T 8313-2018 茶叶中茶多酚和儿茶素类含量的检测方法</w:t>
      </w:r>
    </w:p>
    <w:p w14:paraId="2A809501">
      <w:pPr>
        <w:pStyle w:val="175"/>
        <w:spacing w:line="660" w:lineRule="exact"/>
        <w:ind w:firstLine="640"/>
        <w:rPr>
          <w:rFonts w:ascii="Times New Roman" w:eastAsia="仿宋"/>
          <w:color w:val="000000"/>
          <w:kern w:val="2"/>
          <w:sz w:val="32"/>
          <w:szCs w:val="32"/>
        </w:rPr>
      </w:pPr>
      <w:r>
        <w:rPr>
          <w:rFonts w:hint="eastAsia" w:ascii="Times New Roman" w:eastAsia="仿宋"/>
          <w:color w:val="000000"/>
          <w:kern w:val="2"/>
          <w:sz w:val="32"/>
          <w:szCs w:val="32"/>
        </w:rPr>
        <w:t>GB/T 33306-2016 化妆品用原料 D-泛醇</w:t>
      </w:r>
    </w:p>
    <w:p w14:paraId="21E10E9F">
      <w:pPr>
        <w:pStyle w:val="175"/>
        <w:spacing w:line="660" w:lineRule="exact"/>
        <w:ind w:firstLine="640"/>
        <w:rPr>
          <w:rFonts w:ascii="Times New Roman" w:eastAsia="仿宋"/>
          <w:color w:val="000000"/>
          <w:kern w:val="2"/>
          <w:sz w:val="32"/>
          <w:szCs w:val="32"/>
        </w:rPr>
      </w:pPr>
      <w:r>
        <w:rPr>
          <w:rFonts w:hint="eastAsia" w:ascii="Times New Roman" w:eastAsia="仿宋"/>
          <w:color w:val="000000"/>
          <w:kern w:val="2"/>
          <w:sz w:val="32"/>
          <w:szCs w:val="32"/>
        </w:rPr>
        <w:t>GB/T 39665-2020 含植物提取物类化妆品中55种禁用农药残留量的测定</w:t>
      </w:r>
    </w:p>
    <w:p w14:paraId="51FAB9A2">
      <w:pPr>
        <w:pStyle w:val="175"/>
        <w:spacing w:line="660" w:lineRule="exact"/>
        <w:ind w:firstLine="640"/>
        <w:rPr>
          <w:rFonts w:ascii="Times New Roman" w:eastAsia="仿宋"/>
          <w:color w:val="000000"/>
          <w:kern w:val="2"/>
          <w:sz w:val="32"/>
          <w:szCs w:val="32"/>
        </w:rPr>
      </w:pPr>
      <w:r>
        <w:rPr>
          <w:rFonts w:hint="eastAsia" w:ascii="Times New Roman" w:eastAsia="仿宋"/>
          <w:color w:val="000000"/>
          <w:kern w:val="2"/>
          <w:sz w:val="32"/>
          <w:szCs w:val="32"/>
        </w:rPr>
        <w:t>QB/T 4256-2011化妆品用芦荟汁、粉</w:t>
      </w:r>
    </w:p>
    <w:p w14:paraId="1AB06DD2">
      <w:pPr>
        <w:pStyle w:val="175"/>
        <w:spacing w:line="660" w:lineRule="exact"/>
        <w:ind w:firstLine="640"/>
        <w:rPr>
          <w:rFonts w:ascii="Times New Roman" w:eastAsia="仿宋"/>
          <w:color w:val="000000"/>
          <w:kern w:val="2"/>
          <w:sz w:val="32"/>
          <w:szCs w:val="32"/>
        </w:rPr>
      </w:pPr>
      <w:r>
        <w:rPr>
          <w:rFonts w:hint="eastAsia" w:ascii="Times New Roman" w:eastAsia="仿宋"/>
          <w:color w:val="000000"/>
          <w:kern w:val="2"/>
          <w:sz w:val="32"/>
          <w:szCs w:val="32"/>
        </w:rPr>
        <w:t>QB/T 4951-2016 化妆品用原料 光果甘草（Glycyrrhiza glabra）根提取物</w:t>
      </w:r>
    </w:p>
    <w:p w14:paraId="7D71CF54">
      <w:pPr>
        <w:spacing w:line="660" w:lineRule="exact"/>
        <w:ind w:firstLine="640" w:firstLineChars="200"/>
        <w:rPr>
          <w:rFonts w:ascii="Times New Roman" w:hAnsi="Times New Roman"/>
        </w:rPr>
      </w:pPr>
      <w:r>
        <w:rPr>
          <w:rFonts w:hint="eastAsia" w:ascii="Times New Roman" w:hAnsi="Times New Roman"/>
        </w:rPr>
        <w:t>DBS45/069-2020 食品安全地方标准 金花茶花</w:t>
      </w:r>
    </w:p>
    <w:p w14:paraId="122BB2A5">
      <w:pPr>
        <w:spacing w:line="660" w:lineRule="exact"/>
        <w:ind w:firstLine="640" w:firstLineChars="200"/>
        <w:rPr>
          <w:rFonts w:ascii="Times New Roman" w:hAnsi="Times New Roman"/>
        </w:rPr>
      </w:pPr>
      <w:r>
        <w:rPr>
          <w:rFonts w:hint="eastAsia" w:ascii="Times New Roman" w:hAnsi="Times New Roman"/>
        </w:rPr>
        <w:t>T/GDCA 002-2020化妆品用原料 桑（Morus alba L.）果提取物</w:t>
      </w:r>
    </w:p>
    <w:p w14:paraId="3171116D">
      <w:pPr>
        <w:spacing w:line="660" w:lineRule="exact"/>
        <w:ind w:firstLine="640" w:firstLineChars="200"/>
        <w:rPr>
          <w:rFonts w:ascii="Times New Roman" w:hAnsi="Times New Roman"/>
        </w:rPr>
      </w:pPr>
      <w:r>
        <w:rPr>
          <w:rFonts w:hint="eastAsia" w:ascii="Times New Roman" w:hAnsi="Times New Roman"/>
        </w:rPr>
        <w:t>T/CPCIF 0079-2020化妆品用原料 光果甘草根提取物</w:t>
      </w:r>
    </w:p>
    <w:p w14:paraId="59B63FE3">
      <w:pPr>
        <w:spacing w:line="660" w:lineRule="exact"/>
        <w:ind w:firstLine="640" w:firstLineChars="200"/>
        <w:rPr>
          <w:rFonts w:ascii="Times New Roman" w:hAnsi="Times New Roman"/>
        </w:rPr>
      </w:pPr>
      <w:r>
        <w:rPr>
          <w:rFonts w:hint="eastAsia" w:ascii="Times New Roman" w:hAnsi="Times New Roman"/>
        </w:rPr>
        <w:t>T/ZHCA 001-2021化妆品用原料 金钗石斛茎提取物</w:t>
      </w:r>
    </w:p>
    <w:p w14:paraId="3FBDD7A2">
      <w:pPr>
        <w:spacing w:line="660" w:lineRule="exact"/>
        <w:ind w:firstLine="640" w:firstLineChars="200"/>
        <w:rPr>
          <w:rFonts w:ascii="Times New Roman" w:hAnsi="Times New Roman"/>
        </w:rPr>
      </w:pPr>
      <w:r>
        <w:rPr>
          <w:rFonts w:hint="eastAsia" w:ascii="Times New Roman" w:hAnsi="Times New Roman"/>
        </w:rPr>
        <w:t>《已使用化妆品原料目录》（2021年版）</w:t>
      </w:r>
    </w:p>
    <w:p w14:paraId="71063877">
      <w:pPr>
        <w:spacing w:line="660" w:lineRule="exact"/>
        <w:ind w:firstLine="640" w:firstLineChars="200"/>
        <w:rPr>
          <w:rFonts w:ascii="Times New Roman" w:hAnsi="Times New Roman"/>
        </w:rPr>
      </w:pPr>
      <w:r>
        <w:rPr>
          <w:rFonts w:hint="eastAsia" w:ascii="Times New Roman" w:hAnsi="Times New Roman"/>
        </w:rPr>
        <w:t>《化妆品安全技术规范》（2015年版）</w:t>
      </w:r>
    </w:p>
    <w:p w14:paraId="16B12C89">
      <w:pPr>
        <w:spacing w:line="660" w:lineRule="exact"/>
        <w:ind w:firstLine="640" w:firstLineChars="200"/>
        <w:rPr>
          <w:rFonts w:ascii="Times New Roman" w:hAnsi="Times New Roman"/>
        </w:rPr>
      </w:pPr>
      <w:r>
        <w:rPr>
          <w:rFonts w:hint="eastAsia" w:ascii="Times New Roman" w:hAnsi="Times New Roman"/>
        </w:rPr>
        <w:t>《金花茶化学成分及药理活性研究进展》（《中国药师》）</w:t>
      </w:r>
    </w:p>
    <w:p w14:paraId="26064EA0">
      <w:pPr>
        <w:spacing w:line="660" w:lineRule="exact"/>
        <w:ind w:firstLine="640" w:firstLineChars="200"/>
        <w:rPr>
          <w:rFonts w:ascii="Times New Roman" w:hAnsi="Times New Roman"/>
        </w:rPr>
      </w:pPr>
      <w:r>
        <w:rPr>
          <w:rFonts w:hint="eastAsia" w:ascii="Times New Roman" w:hAnsi="Times New Roman"/>
        </w:rPr>
        <w:t>《含金花茶提取物面膜的制备及功效评价》（《日用化学工业》）</w:t>
      </w:r>
    </w:p>
    <w:p w14:paraId="5B031535">
      <w:pPr>
        <w:spacing w:line="660" w:lineRule="exact"/>
        <w:ind w:firstLine="640" w:firstLineChars="200"/>
        <w:rPr>
          <w:rFonts w:ascii="Times New Roman" w:hAnsi="Times New Roman"/>
        </w:rPr>
      </w:pPr>
      <w:r>
        <w:rPr>
          <w:rFonts w:hint="eastAsia" w:ascii="Times New Roman" w:hAnsi="Times New Roman"/>
        </w:rPr>
        <w:t>《金花茶的化学成分及其生物活性研究》（《天然产物研究与开发》）</w:t>
      </w:r>
    </w:p>
    <w:p w14:paraId="20517E3A">
      <w:pPr>
        <w:spacing w:line="660" w:lineRule="exact"/>
        <w:ind w:firstLine="643"/>
        <w:rPr>
          <w:rFonts w:ascii="Times New Roman" w:hAnsi="Times New Roman"/>
          <w:b/>
        </w:rPr>
      </w:pPr>
      <w:r>
        <w:rPr>
          <w:rFonts w:ascii="Times New Roman" w:hAnsi="Times New Roman"/>
          <w:b/>
        </w:rPr>
        <w:t>（三）</w:t>
      </w:r>
      <w:r>
        <w:rPr>
          <w:rFonts w:hint="eastAsia" w:ascii="Times New Roman" w:hAnsi="Times New Roman"/>
          <w:b/>
        </w:rPr>
        <w:t>研讨确定</w:t>
      </w:r>
      <w:r>
        <w:rPr>
          <w:rFonts w:ascii="Times New Roman" w:hAnsi="Times New Roman"/>
          <w:b/>
        </w:rPr>
        <w:t>标准</w:t>
      </w:r>
      <w:r>
        <w:rPr>
          <w:rFonts w:hint="eastAsia" w:ascii="Times New Roman" w:hAnsi="Times New Roman"/>
          <w:b/>
        </w:rPr>
        <w:t>主体</w:t>
      </w:r>
      <w:r>
        <w:rPr>
          <w:rFonts w:ascii="Times New Roman" w:hAnsi="Times New Roman"/>
          <w:b/>
        </w:rPr>
        <w:t>内容</w:t>
      </w:r>
    </w:p>
    <w:p w14:paraId="71644717">
      <w:pPr>
        <w:spacing w:line="660" w:lineRule="exact"/>
        <w:ind w:firstLine="640" w:firstLineChars="200"/>
        <w:rPr>
          <w:rFonts w:ascii="Times New Roman" w:hAnsi="Times New Roman" w:eastAsia="仿宋_GB2312"/>
          <w:color w:val="000000" w:themeColor="text1"/>
          <w14:textFill>
            <w14:solidFill>
              <w14:schemeClr w14:val="tx1"/>
            </w14:solidFill>
          </w14:textFill>
        </w:rPr>
      </w:pPr>
      <w:r>
        <w:rPr>
          <w:rFonts w:hint="eastAsia" w:ascii="Times New Roman" w:hAnsi="Times New Roman"/>
        </w:rPr>
        <w:t>标准编制工作组在对收集的资料进行整理研究之后，标准编制工作组召开了标准编制会议，对标准的整体框架结构进行了研究，并对标准的关键性内容进行了初步探讨。经过研究，标准的主体</w:t>
      </w:r>
      <w:r>
        <w:rPr>
          <w:rFonts w:ascii="Times New Roman" w:hAnsi="Times New Roman"/>
        </w:rPr>
        <w:t>内容确定为</w:t>
      </w:r>
      <w:r>
        <w:rPr>
          <w:rFonts w:hint="eastAsia" w:ascii="Times New Roman" w:hAnsi="Times New Roman"/>
          <w:color w:val="000000" w:themeColor="text1"/>
          <w14:textFill>
            <w14:solidFill>
              <w14:schemeClr w14:val="tx1"/>
            </w14:solidFill>
          </w14:textFill>
        </w:rPr>
        <w:t>术语和定义、技术要求、检测方法、检验规则、标志、包装、运输、贮存和保质期</w:t>
      </w:r>
      <w:r>
        <w:rPr>
          <w:rFonts w:ascii="Times New Roman" w:hAnsi="Times New Roman"/>
        </w:rPr>
        <w:t>。</w:t>
      </w:r>
    </w:p>
    <w:p w14:paraId="2F083D42">
      <w:pPr>
        <w:spacing w:line="660" w:lineRule="exact"/>
        <w:ind w:firstLine="643"/>
        <w:rPr>
          <w:rFonts w:ascii="Times New Roman" w:hAnsi="Times New Roman"/>
          <w:b/>
          <w:color w:val="FF0000"/>
        </w:rPr>
      </w:pPr>
      <w:r>
        <w:rPr>
          <w:rFonts w:ascii="Times New Roman" w:hAnsi="Times New Roman"/>
          <w:b/>
        </w:rPr>
        <w:t>（四）</w:t>
      </w:r>
      <w:r>
        <w:rPr>
          <w:rFonts w:hint="eastAsia" w:ascii="Times New Roman" w:hAnsi="Times New Roman"/>
          <w:b/>
        </w:rPr>
        <w:t>调研、形成文本草案</w:t>
      </w:r>
      <w:r>
        <w:rPr>
          <w:rFonts w:ascii="Times New Roman" w:hAnsi="Times New Roman"/>
          <w:b/>
        </w:rPr>
        <w:t>、征求意见稿</w:t>
      </w:r>
    </w:p>
    <w:p w14:paraId="6A22E936">
      <w:pPr>
        <w:spacing w:line="660" w:lineRule="exact"/>
        <w:ind w:firstLine="640" w:firstLineChars="200"/>
        <w:rPr>
          <w:rFonts w:ascii="Times New Roman" w:hAnsi="Times New Roman"/>
        </w:rPr>
      </w:pPr>
      <w:bookmarkStart w:id="2" w:name="_Toc526940083"/>
      <w:r>
        <w:rPr>
          <w:rFonts w:hint="eastAsia" w:ascii="Times New Roman" w:hAnsi="Times New Roman"/>
        </w:rPr>
        <w:t>2025年5月～2025年6月，标准起草工作小组进行了广泛实地调研工作，查阅了大量的国内外文献资料，经编制组反复讨论，形成了标准的基本构架，对主要内容进行了讨论并对项目的工作进行了部署和安排。在前期工作的基础之上，通过理清逻辑脉络，整合已有的参考资料中有关金花茶提取物的内容指标，并结合实地调研及收集到的最新技术资料的基础上，按照简化、统一等原则编制完成了团体标准《化妆品用原料  金花茶提取物》（草案）。</w:t>
      </w:r>
    </w:p>
    <w:p w14:paraId="5859AD75">
      <w:pPr>
        <w:spacing w:line="660" w:lineRule="exact"/>
        <w:ind w:firstLine="640" w:firstLineChars="200"/>
        <w:rPr>
          <w:rFonts w:ascii="Times New Roman" w:hAnsi="Times New Roman"/>
        </w:rPr>
      </w:pPr>
      <w:r>
        <w:rPr>
          <w:rFonts w:hint="eastAsia" w:ascii="Times New Roman" w:hAnsi="Times New Roman"/>
        </w:rPr>
        <w:t>2025年6月～2025年7月，标准起草工作组深入到南宁化妆品行业协会、广西中医药大学、广西肤可迪赛再生医学工程有限公司、广西名欧药业有限公司等相关机构</w:t>
      </w:r>
      <w:r>
        <w:rPr>
          <w:rFonts w:hint="eastAsia" w:ascii="Times New Roman" w:hAnsi="Times New Roman"/>
          <w:color w:val="auto"/>
        </w:rPr>
        <w:t>开展实地调研</w:t>
      </w:r>
      <w:r>
        <w:rPr>
          <w:rFonts w:hint="eastAsia" w:ascii="Times New Roman" w:hAnsi="Times New Roman"/>
        </w:rPr>
        <w:t>，通过收集反馈意见，标准编制工作组召开会议，对标准草案进行了反复修改和研究讨论，最终形成了团体标准《化妆品用原料  金花茶提取物》（征求意见稿）和《征求意见稿编制说明》。</w:t>
      </w:r>
    </w:p>
    <w:p w14:paraId="0360507A">
      <w:pPr>
        <w:spacing w:line="660" w:lineRule="exact"/>
        <w:ind w:firstLine="643"/>
        <w:rPr>
          <w:rFonts w:ascii="Times New Roman" w:hAnsi="Times New Roman"/>
          <w:b/>
        </w:rPr>
      </w:pPr>
      <w:r>
        <w:rPr>
          <w:rFonts w:ascii="Times New Roman" w:hAnsi="Times New Roman"/>
          <w:b/>
        </w:rPr>
        <w:t>四、</w:t>
      </w:r>
      <w:bookmarkEnd w:id="2"/>
      <w:r>
        <w:rPr>
          <w:rFonts w:hint="eastAsia" w:ascii="Times New Roman" w:hAnsi="Times New Roman"/>
          <w:b/>
        </w:rPr>
        <w:t>制定标准的原则和依据，与现行法律、法规的关系，与有关国家标准、行业标准的协调情况</w:t>
      </w:r>
    </w:p>
    <w:p w14:paraId="20FC0C2C">
      <w:pPr>
        <w:spacing w:line="660" w:lineRule="exact"/>
        <w:ind w:firstLine="643"/>
        <w:rPr>
          <w:rFonts w:ascii="Times New Roman" w:hAnsi="Times New Roman"/>
          <w:b/>
        </w:rPr>
      </w:pPr>
      <w:r>
        <w:rPr>
          <w:rFonts w:hint="eastAsia" w:ascii="Times New Roman" w:hAnsi="Times New Roman"/>
          <w:b/>
        </w:rPr>
        <w:t>（一）编制原则</w:t>
      </w:r>
    </w:p>
    <w:p w14:paraId="006BC224">
      <w:pPr>
        <w:spacing w:line="660" w:lineRule="exact"/>
        <w:ind w:firstLine="640"/>
        <w:rPr>
          <w:rFonts w:ascii="Times New Roman" w:hAnsi="Times New Roman"/>
          <w:b/>
        </w:rPr>
      </w:pPr>
      <w:r>
        <w:rPr>
          <w:rFonts w:hint="eastAsia" w:ascii="Times New Roman" w:hAnsi="Times New Roman"/>
          <w:b/>
        </w:rPr>
        <w:t>1、</w:t>
      </w:r>
      <w:r>
        <w:rPr>
          <w:rFonts w:ascii="Times New Roman" w:hAnsi="Times New Roman"/>
          <w:b/>
        </w:rPr>
        <w:t>实用性原则</w:t>
      </w:r>
    </w:p>
    <w:p w14:paraId="41037D80">
      <w:pPr>
        <w:spacing w:line="660" w:lineRule="exact"/>
        <w:ind w:firstLine="640" w:firstLineChars="200"/>
        <w:rPr>
          <w:rFonts w:ascii="Times New Roman" w:hAnsi="Times New Roman" w:eastAsia="仿宋_GB2312"/>
        </w:rPr>
      </w:pPr>
      <w:r>
        <w:rPr>
          <w:rFonts w:ascii="Times New Roman" w:hAnsi="Times New Roman"/>
        </w:rPr>
        <w:t>本文件是在充分收集相关资料和文献，分析</w:t>
      </w:r>
      <w:r>
        <w:rPr>
          <w:rFonts w:hint="eastAsia" w:ascii="Times New Roman" w:hAnsi="Times New Roman"/>
        </w:rPr>
        <w:t>结合金花茶提取物在化妆品生产过程应用</w:t>
      </w:r>
      <w:r>
        <w:rPr>
          <w:rFonts w:ascii="Times New Roman" w:hAnsi="Times New Roman"/>
        </w:rPr>
        <w:t>现状，调研</w:t>
      </w:r>
      <w:r>
        <w:rPr>
          <w:rFonts w:hint="eastAsia" w:ascii="Times New Roman" w:hAnsi="Times New Roman"/>
        </w:rPr>
        <w:t>相关行政主管部门及区内金花茶提取物应用研究的化妆品生产企业的情况</w:t>
      </w:r>
      <w:r>
        <w:rPr>
          <w:rFonts w:ascii="Times New Roman" w:hAnsi="Times New Roman"/>
        </w:rPr>
        <w:t>，在现有</w:t>
      </w:r>
      <w:r>
        <w:rPr>
          <w:rFonts w:hint="eastAsia" w:ascii="Times New Roman" w:hAnsi="Times New Roman"/>
        </w:rPr>
        <w:t>化妆品原料</w:t>
      </w:r>
      <w:r>
        <w:rPr>
          <w:rFonts w:ascii="Times New Roman" w:hAnsi="Times New Roman"/>
        </w:rPr>
        <w:t>相关国家、行业标准</w:t>
      </w:r>
      <w:r>
        <w:rPr>
          <w:rFonts w:hint="eastAsia" w:ascii="Times New Roman" w:hAnsi="Times New Roman"/>
        </w:rPr>
        <w:t>的</w:t>
      </w:r>
      <w:r>
        <w:rPr>
          <w:rFonts w:ascii="Times New Roman" w:hAnsi="Times New Roman"/>
        </w:rPr>
        <w:t>基础上，</w:t>
      </w:r>
      <w:r>
        <w:rPr>
          <w:rFonts w:hint="eastAsia" w:ascii="Times New Roman" w:hAnsi="Times New Roman"/>
        </w:rPr>
        <w:t>结合实地调研而</w:t>
      </w:r>
      <w:r>
        <w:rPr>
          <w:rFonts w:ascii="Times New Roman" w:hAnsi="Times New Roman"/>
        </w:rPr>
        <w:t>总结起草的。</w:t>
      </w:r>
      <w:r>
        <w:rPr>
          <w:rFonts w:hint="eastAsia" w:ascii="Times New Roman" w:hAnsi="Times New Roman"/>
        </w:rPr>
        <w:t>通过细化技术指标，明确金花茶提取物的标志性成分黄酮的含量要求，填补标准空白，对推动金花茶提取物在化妆品中广泛使用、规范市场秩序、推动产业规范化</w:t>
      </w:r>
      <w:r>
        <w:rPr>
          <w:rFonts w:ascii="Times New Roman" w:hAnsi="Times New Roman"/>
        </w:rPr>
        <w:t>，具有较强的实用性和可操作性。</w:t>
      </w:r>
    </w:p>
    <w:p w14:paraId="3DF2679A">
      <w:pPr>
        <w:spacing w:line="660" w:lineRule="exact"/>
        <w:ind w:firstLine="640"/>
        <w:rPr>
          <w:rFonts w:ascii="Times New Roman" w:hAnsi="Times New Roman"/>
          <w:b/>
        </w:rPr>
      </w:pPr>
      <w:r>
        <w:rPr>
          <w:rFonts w:hint="eastAsia" w:ascii="Times New Roman" w:hAnsi="Times New Roman"/>
          <w:b/>
        </w:rPr>
        <w:t>2、</w:t>
      </w:r>
      <w:r>
        <w:rPr>
          <w:rFonts w:ascii="Times New Roman" w:hAnsi="Times New Roman"/>
          <w:b/>
        </w:rPr>
        <w:t>协调性原则</w:t>
      </w:r>
    </w:p>
    <w:p w14:paraId="177D448E">
      <w:pPr>
        <w:spacing w:line="660" w:lineRule="exact"/>
        <w:ind w:firstLine="640" w:firstLineChars="200"/>
        <w:rPr>
          <w:rFonts w:ascii="Times New Roman" w:hAnsi="Times New Roman"/>
        </w:rPr>
      </w:pPr>
      <w:r>
        <w:rPr>
          <w:rFonts w:hint="eastAsia" w:ascii="Times New Roman" w:hAnsi="Times New Roman"/>
        </w:rPr>
        <w:t>在本文件的编写过程中，我们特别注重与化妆品用原料相关的各项法律法规的协调性问题，确保文件内容严格遵循并符合国家现行的法律法规要求及行业标准规范。我们不仅对国内现行的《化妆品监督管理条例》《化妆品安全技术规范》等法律法规进行了深入研究，还参考了国际通行的化妆品原料管理标准，力求在技术要求和规范内容上与国内外相关法规标准保持高度一致。同时，在具体条款的制定上，我们充分考虑了法规的适用性和可操作性，确保文件内容既符合法规要求，又能为行业实践提供明确指导。</w:t>
      </w:r>
    </w:p>
    <w:p w14:paraId="3BBBCB9C">
      <w:pPr>
        <w:spacing w:line="660" w:lineRule="exact"/>
        <w:ind w:firstLine="640"/>
        <w:rPr>
          <w:rFonts w:ascii="Times New Roman" w:hAnsi="Times New Roman"/>
          <w:b/>
        </w:rPr>
      </w:pPr>
      <w:r>
        <w:rPr>
          <w:rFonts w:hint="eastAsia" w:ascii="Times New Roman" w:hAnsi="Times New Roman"/>
          <w:b/>
        </w:rPr>
        <w:t>3、</w:t>
      </w:r>
      <w:r>
        <w:rPr>
          <w:rFonts w:ascii="Times New Roman" w:hAnsi="Times New Roman"/>
          <w:b/>
        </w:rPr>
        <w:t>规范性原则</w:t>
      </w:r>
    </w:p>
    <w:p w14:paraId="2E7EF936">
      <w:pPr>
        <w:spacing w:line="660" w:lineRule="exact"/>
        <w:ind w:firstLine="640" w:firstLineChars="200"/>
        <w:rPr>
          <w:rFonts w:ascii="Times New Roman" w:hAnsi="Times New Roman"/>
        </w:rPr>
      </w:pPr>
      <w:r>
        <w:rPr>
          <w:rFonts w:ascii="Times New Roman" w:hAnsi="Times New Roman"/>
        </w:rPr>
        <w:t>本文件严格按照GB/T 1.1—2020</w:t>
      </w:r>
      <w:r>
        <w:rPr>
          <w:rFonts w:hint="eastAsia" w:ascii="Times New Roman" w:hAnsi="Times New Roman"/>
        </w:rPr>
        <w:t>《标准化工作导则  第1部分：标准化文件的结构和起草规则》</w:t>
      </w:r>
      <w:r>
        <w:rPr>
          <w:rFonts w:ascii="Times New Roman" w:hAnsi="Times New Roman"/>
        </w:rPr>
        <w:t>的要求和规定编写本标准的内容，保证标准的编写质量。</w:t>
      </w:r>
    </w:p>
    <w:p w14:paraId="582B68C7">
      <w:pPr>
        <w:spacing w:line="660" w:lineRule="exact"/>
        <w:ind w:firstLine="640"/>
        <w:rPr>
          <w:rFonts w:ascii="Times New Roman" w:hAnsi="Times New Roman"/>
          <w:b/>
        </w:rPr>
      </w:pPr>
      <w:r>
        <w:rPr>
          <w:rFonts w:hint="eastAsia" w:ascii="Times New Roman" w:hAnsi="Times New Roman"/>
          <w:b/>
        </w:rPr>
        <w:t>4、</w:t>
      </w:r>
      <w:r>
        <w:rPr>
          <w:rFonts w:ascii="Times New Roman" w:hAnsi="Times New Roman"/>
          <w:b/>
        </w:rPr>
        <w:t>前瞻性原则</w:t>
      </w:r>
    </w:p>
    <w:p w14:paraId="145F842B">
      <w:pPr>
        <w:spacing w:line="660" w:lineRule="exact"/>
        <w:ind w:firstLine="640" w:firstLineChars="200"/>
        <w:rPr>
          <w:rFonts w:ascii="Times New Roman" w:hAnsi="Times New Roman"/>
        </w:rPr>
      </w:pPr>
      <w:r>
        <w:rPr>
          <w:rFonts w:ascii="Times New Roman" w:hAnsi="Times New Roman"/>
        </w:rPr>
        <w:t>本文件在兼顾当前</w:t>
      </w:r>
      <w:r>
        <w:rPr>
          <w:rFonts w:hint="eastAsia" w:ascii="Times New Roman" w:hAnsi="Times New Roman"/>
        </w:rPr>
        <w:t>金花茶提取物在化妆品生产过程应用的</w:t>
      </w:r>
      <w:r>
        <w:rPr>
          <w:rFonts w:ascii="Times New Roman" w:hAnsi="Times New Roman"/>
        </w:rPr>
        <w:t>现实情况的同时，还考虑到了</w:t>
      </w:r>
      <w:r>
        <w:rPr>
          <w:rFonts w:hint="eastAsia" w:ascii="Times New Roman" w:hAnsi="Times New Roman"/>
        </w:rPr>
        <w:t>金花茶提取物做为化妆品原料</w:t>
      </w:r>
      <w:r>
        <w:rPr>
          <w:rFonts w:ascii="Times New Roman" w:hAnsi="Times New Roman"/>
        </w:rPr>
        <w:t>快速发展的趋势和需要，在标准中</w:t>
      </w:r>
      <w:r>
        <w:rPr>
          <w:rFonts w:hint="eastAsia" w:ascii="Times New Roman" w:hAnsi="Times New Roman"/>
        </w:rPr>
        <w:t>界定了总多酚、总黄酮、总糖等成分及含量</w:t>
      </w:r>
      <w:r>
        <w:rPr>
          <w:rFonts w:ascii="Times New Roman" w:hAnsi="Times New Roman"/>
        </w:rPr>
        <w:t>，作为</w:t>
      </w:r>
      <w:r>
        <w:rPr>
          <w:rFonts w:hint="eastAsia" w:ascii="Times New Roman" w:hAnsi="Times New Roman"/>
        </w:rPr>
        <w:t>应用</w:t>
      </w:r>
      <w:r>
        <w:rPr>
          <w:rFonts w:ascii="Times New Roman" w:hAnsi="Times New Roman"/>
        </w:rPr>
        <w:t>指导。</w:t>
      </w:r>
    </w:p>
    <w:p w14:paraId="2F5E3259">
      <w:pPr>
        <w:spacing w:line="660" w:lineRule="exact"/>
        <w:ind w:firstLine="643" w:firstLineChars="200"/>
        <w:rPr>
          <w:rFonts w:ascii="Times New Roman" w:hAnsi="Times New Roman" w:eastAsia="仿宋_GB2312"/>
          <w:b/>
        </w:rPr>
      </w:pPr>
      <w:r>
        <w:rPr>
          <w:rFonts w:hint="eastAsia" w:ascii="Times New Roman" w:hAnsi="Times New Roman" w:eastAsia="仿宋_GB2312"/>
          <w:b/>
        </w:rPr>
        <w:t>（二）编制依据</w:t>
      </w:r>
    </w:p>
    <w:p w14:paraId="4BBE5A2C">
      <w:pPr>
        <w:spacing w:line="660" w:lineRule="exact"/>
        <w:ind w:firstLine="640" w:firstLineChars="200"/>
        <w:rPr>
          <w:rFonts w:hint="eastAsia" w:eastAsia="仿宋_GB2312"/>
        </w:rPr>
      </w:pPr>
      <w:r>
        <w:rPr>
          <w:rFonts w:hint="eastAsia" w:ascii="Times New Roman" w:hAnsi="Times New Roman" w:eastAsia="仿宋_GB2312"/>
        </w:rPr>
        <w:t>本标准严格按照</w:t>
      </w:r>
      <w:r>
        <w:rPr>
          <w:rFonts w:ascii="Times New Roman" w:hAnsi="Times New Roman" w:eastAsia="仿宋_GB2312"/>
        </w:rPr>
        <w:t>GB/T 1.1</w:t>
      </w:r>
      <w:r>
        <w:rPr>
          <w:rFonts w:hint="eastAsia" w:ascii="Times New Roman" w:hAnsi="Times New Roman" w:eastAsia="仿宋_GB2312"/>
        </w:rPr>
        <w:t>-</w:t>
      </w:r>
      <w:r>
        <w:rPr>
          <w:rFonts w:ascii="Times New Roman" w:hAnsi="Times New Roman" w:eastAsia="仿宋_GB2312"/>
        </w:rPr>
        <w:t>2020《标准化工作导则  第1部分：标准化文件的结构和起草规则》的规则起草，标准主要内容依据起草单位在</w:t>
      </w:r>
      <w:r>
        <w:rPr>
          <w:rFonts w:hint="eastAsia" w:ascii="Times New Roman" w:hAnsi="Times New Roman"/>
        </w:rPr>
        <w:t>金花茶提取物应用研究</w:t>
      </w:r>
      <w:r>
        <w:rPr>
          <w:rFonts w:ascii="Times New Roman" w:hAnsi="Times New Roman" w:eastAsia="仿宋_GB2312"/>
        </w:rPr>
        <w:t>中的实践经验确定。</w:t>
      </w:r>
      <w:r>
        <w:rPr>
          <w:rFonts w:hint="eastAsia" w:eastAsia="仿宋_GB2312"/>
        </w:rPr>
        <w:t>所涉及的数据依据起草单位实验测定或委托第三检测公司测定得到。关键技术指标依据起草单位根据</w:t>
      </w:r>
      <w:r>
        <w:rPr>
          <w:rFonts w:eastAsia="仿宋_GB2312"/>
        </w:rPr>
        <w:t>《标准化工作导则  第1部分：标准化文件的结构和起草规则》</w:t>
      </w:r>
      <w:r>
        <w:rPr>
          <w:rFonts w:hint="eastAsia" w:eastAsia="仿宋_GB2312"/>
        </w:rPr>
        <w:t>要求的编制内容，以及该提取工艺条件下金花茶提取物的实际数据范围。</w:t>
      </w:r>
    </w:p>
    <w:p w14:paraId="60961BA8">
      <w:pPr>
        <w:spacing w:line="660" w:lineRule="exact"/>
        <w:ind w:firstLine="643" w:firstLineChars="200"/>
        <w:rPr>
          <w:rFonts w:ascii="Times New Roman" w:hAnsi="Times New Roman" w:eastAsia="仿宋_GB2312"/>
          <w:b/>
        </w:rPr>
      </w:pPr>
      <w:r>
        <w:rPr>
          <w:rFonts w:hint="eastAsia" w:ascii="Times New Roman" w:hAnsi="Times New Roman" w:eastAsia="仿宋_GB2312"/>
          <w:b/>
        </w:rPr>
        <w:t>（三）与现行法律、法规的关系，与有关国家标准、行业标准的协调情况</w:t>
      </w:r>
    </w:p>
    <w:p w14:paraId="79AFD56B">
      <w:pPr>
        <w:spacing w:line="660" w:lineRule="exact"/>
        <w:ind w:firstLine="640" w:firstLineChars="200"/>
        <w:rPr>
          <w:rFonts w:ascii="Times New Roman" w:hAnsi="Times New Roman" w:eastAsia="仿宋_GB2312"/>
        </w:rPr>
      </w:pPr>
      <w:r>
        <w:rPr>
          <w:rFonts w:hint="eastAsia" w:ascii="Times New Roman" w:hAnsi="Times New Roman" w:eastAsia="仿宋_GB2312"/>
        </w:rPr>
        <w:t>本标准与相关法律法规、强制性标准协调一致，无冲突。</w:t>
      </w:r>
    </w:p>
    <w:p w14:paraId="699B5E75">
      <w:pPr>
        <w:spacing w:line="660" w:lineRule="exact"/>
        <w:ind w:firstLine="640" w:firstLineChars="200"/>
        <w:rPr>
          <w:rFonts w:ascii="Times New Roman" w:hAnsi="Times New Roman" w:eastAsia="仿宋_GB2312"/>
        </w:rPr>
      </w:pPr>
      <w:r>
        <w:rPr>
          <w:rFonts w:hint="eastAsia" w:ascii="Times New Roman" w:hAnsi="Times New Roman" w:eastAsia="仿宋_GB2312"/>
        </w:rPr>
        <w:t>经查阅，国内暂无与“化妆品用原料 金花茶提取物”相关的标准，与“金花茶</w:t>
      </w:r>
      <w:r>
        <w:rPr>
          <w:rFonts w:ascii="Times New Roman" w:hAnsi="Times New Roman" w:eastAsia="仿宋_GB2312"/>
        </w:rPr>
        <w:t>”、“</w:t>
      </w:r>
      <w:r>
        <w:rPr>
          <w:rFonts w:hint="eastAsia" w:ascii="Times New Roman" w:hAnsi="Times New Roman" w:eastAsia="仿宋_GB2312"/>
        </w:rPr>
        <w:t>金花茶提取物</w:t>
      </w:r>
      <w:r>
        <w:rPr>
          <w:rFonts w:ascii="Times New Roman" w:hAnsi="Times New Roman" w:eastAsia="仿宋_GB2312"/>
        </w:rPr>
        <w:t>”相关的标</w:t>
      </w:r>
      <w:r>
        <w:rPr>
          <w:rFonts w:hint="eastAsia" w:ascii="Times New Roman" w:hAnsi="Times New Roman" w:eastAsia="仿宋_GB2312"/>
        </w:rPr>
        <w:t>准主要有：在“全国标准信息公共服务平台”国家标准</w:t>
      </w:r>
      <w:bookmarkStart w:id="3" w:name="OLE_LINK7"/>
      <w:r>
        <w:rPr>
          <w:rFonts w:hint="eastAsia" w:ascii="Times New Roman" w:hAnsi="Times New Roman" w:eastAsia="仿宋_GB2312"/>
        </w:rPr>
        <w:t>中查“金花茶”</w:t>
      </w:r>
      <w:bookmarkEnd w:id="3"/>
      <w:r>
        <w:rPr>
          <w:rFonts w:hint="eastAsia" w:ascii="Times New Roman" w:hAnsi="Times New Roman" w:eastAsia="仿宋_GB2312"/>
        </w:rPr>
        <w:t>，结果“未找到相关标准”；地方标准中查“金花茶”，有11个地标，主要包括地理标志产品、栽培技术规程等；行业标准中查“金花</w:t>
      </w:r>
      <w:r>
        <w:rPr>
          <w:rFonts w:ascii="Times New Roman" w:hAnsi="Times New Roman"/>
        </w:rPr>
        <w:drawing>
          <wp:anchor distT="0" distB="0" distL="114300" distR="114300" simplePos="0" relativeHeight="251661312" behindDoc="0" locked="0" layoutInCell="1" allowOverlap="1">
            <wp:simplePos x="0" y="0"/>
            <wp:positionH relativeFrom="column">
              <wp:posOffset>2917190</wp:posOffset>
            </wp:positionH>
            <wp:positionV relativeFrom="paragraph">
              <wp:posOffset>1891665</wp:posOffset>
            </wp:positionV>
            <wp:extent cx="3174365" cy="3105785"/>
            <wp:effectExtent l="0" t="0" r="635" b="571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174365" cy="3105785"/>
                    </a:xfrm>
                    <a:prstGeom prst="rect">
                      <a:avLst/>
                    </a:prstGeom>
                    <a:noFill/>
                    <a:ln>
                      <a:noFill/>
                    </a:ln>
                  </pic:spPr>
                </pic:pic>
              </a:graphicData>
            </a:graphic>
          </wp:anchor>
        </w:drawing>
      </w:r>
      <w:r>
        <w:rPr>
          <w:rFonts w:ascii="Times New Roman" w:hAnsi="Times New Roman"/>
        </w:rPr>
        <w:drawing>
          <wp:anchor distT="0" distB="0" distL="114300" distR="114300" simplePos="0" relativeHeight="251660288" behindDoc="0" locked="0" layoutInCell="1" allowOverlap="1">
            <wp:simplePos x="0" y="0"/>
            <wp:positionH relativeFrom="column">
              <wp:posOffset>-320675</wp:posOffset>
            </wp:positionH>
            <wp:positionV relativeFrom="paragraph">
              <wp:posOffset>1847850</wp:posOffset>
            </wp:positionV>
            <wp:extent cx="3100070" cy="3220720"/>
            <wp:effectExtent l="0" t="0" r="11430" b="508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100070" cy="3220720"/>
                    </a:xfrm>
                    <a:prstGeom prst="rect">
                      <a:avLst/>
                    </a:prstGeom>
                    <a:noFill/>
                    <a:ln>
                      <a:noFill/>
                    </a:ln>
                  </pic:spPr>
                </pic:pic>
              </a:graphicData>
            </a:graphic>
          </wp:anchor>
        </w:drawing>
      </w:r>
      <w:r>
        <w:rPr>
          <w:rFonts w:ascii="Times New Roman" w:hAnsi="Times New Roman"/>
        </w:rPr>
        <w:drawing>
          <wp:anchor distT="0" distB="0" distL="114300" distR="114300" simplePos="0" relativeHeight="251663360" behindDoc="0" locked="0" layoutInCell="1" allowOverlap="1">
            <wp:simplePos x="0" y="0"/>
            <wp:positionH relativeFrom="column">
              <wp:posOffset>3070860</wp:posOffset>
            </wp:positionH>
            <wp:positionV relativeFrom="paragraph">
              <wp:posOffset>5342890</wp:posOffset>
            </wp:positionV>
            <wp:extent cx="2961640" cy="3493770"/>
            <wp:effectExtent l="0" t="0" r="10160" b="11430"/>
            <wp:wrapTopAndBottom/>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2961640" cy="3493770"/>
                    </a:xfrm>
                    <a:prstGeom prst="rect">
                      <a:avLst/>
                    </a:prstGeom>
                    <a:noFill/>
                    <a:ln>
                      <a:noFill/>
                    </a:ln>
                  </pic:spPr>
                </pic:pic>
              </a:graphicData>
            </a:graphic>
          </wp:anchor>
        </w:drawing>
      </w:r>
      <w:r>
        <w:rPr>
          <w:rFonts w:hint="eastAsia" w:ascii="Times New Roman" w:hAnsi="Times New Roman" w:eastAsia="仿宋_GB2312"/>
        </w:rPr>
        <w:drawing>
          <wp:anchor distT="0" distB="0" distL="114300" distR="114300" simplePos="0" relativeHeight="251662336" behindDoc="0" locked="0" layoutInCell="1" allowOverlap="1">
            <wp:simplePos x="0" y="0"/>
            <wp:positionH relativeFrom="column">
              <wp:posOffset>-152400</wp:posOffset>
            </wp:positionH>
            <wp:positionV relativeFrom="paragraph">
              <wp:posOffset>5227320</wp:posOffset>
            </wp:positionV>
            <wp:extent cx="2880995" cy="3232785"/>
            <wp:effectExtent l="0" t="0" r="1905" b="5715"/>
            <wp:wrapTopAndBottom/>
            <wp:docPr id="3" name="图片 3" descr="金花茶-地标查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金花茶-地标查重"/>
                    <pic:cNvPicPr>
                      <a:picLocks noChangeAspect="1"/>
                    </pic:cNvPicPr>
                  </pic:nvPicPr>
                  <pic:blipFill>
                    <a:blip r:embed="rId8"/>
                    <a:stretch>
                      <a:fillRect/>
                    </a:stretch>
                  </pic:blipFill>
                  <pic:spPr>
                    <a:xfrm>
                      <a:off x="0" y="0"/>
                      <a:ext cx="2880995" cy="3232785"/>
                    </a:xfrm>
                    <a:prstGeom prst="rect">
                      <a:avLst/>
                    </a:prstGeom>
                  </pic:spPr>
                </pic:pic>
              </a:graphicData>
            </a:graphic>
          </wp:anchor>
        </w:drawing>
      </w:r>
      <w:r>
        <w:rPr>
          <w:rFonts w:hint="eastAsia" w:ascii="Times New Roman" w:hAnsi="Times New Roman" w:eastAsia="仿宋_GB2312"/>
        </w:rPr>
        <w:t>茶”，有2个行标，分别是栽培和育苗技术规程。在“全国团体标准信息平台”中查“金花茶”，有2个团标，分别是八仙金花茶产品标准和生产规程。以上均与化妆品原料无关，本标准与相关法律法规、强制性标准协调一致，无冲突。</w:t>
      </w:r>
    </w:p>
    <w:p w14:paraId="0883A0A0">
      <w:pPr>
        <w:spacing w:line="660" w:lineRule="exact"/>
        <w:ind w:firstLine="643"/>
        <w:rPr>
          <w:rFonts w:ascii="Times New Roman" w:hAnsi="Times New Roman"/>
          <w:b/>
        </w:rPr>
      </w:pPr>
      <w:r>
        <w:rPr>
          <w:rFonts w:ascii="Times New Roman" w:hAnsi="Times New Roman"/>
          <w:b/>
        </w:rPr>
        <w:t>五、</w:t>
      </w:r>
      <w:r>
        <w:rPr>
          <w:rFonts w:hint="eastAsia" w:ascii="Times New Roman" w:hAnsi="Times New Roman"/>
          <w:b/>
        </w:rPr>
        <w:t>主要条款的说明</w:t>
      </w:r>
    </w:p>
    <w:p w14:paraId="3CB5BFBD">
      <w:pPr>
        <w:spacing w:line="660" w:lineRule="exact"/>
        <w:ind w:firstLine="643"/>
        <w:rPr>
          <w:rFonts w:ascii="Times New Roman" w:hAnsi="Times New Roman" w:eastAsia="仿宋_GB2312"/>
          <w:color w:val="000000" w:themeColor="text1"/>
          <w14:textFill>
            <w14:solidFill>
              <w14:schemeClr w14:val="tx1"/>
            </w14:solidFill>
          </w14:textFill>
        </w:rPr>
      </w:pPr>
      <w:r>
        <w:rPr>
          <w:rFonts w:ascii="Times New Roman" w:hAnsi="Times New Roman"/>
          <w:lang w:val="zh-CN"/>
        </w:rPr>
        <w:t>团体标准《</w:t>
      </w:r>
      <w:r>
        <w:rPr>
          <w:rFonts w:hint="eastAsia" w:ascii="Times New Roman" w:hAnsi="Times New Roman"/>
        </w:rPr>
        <w:t>化妆品用原料  金花茶提取物</w:t>
      </w:r>
      <w:r>
        <w:rPr>
          <w:rFonts w:hint="eastAsia" w:ascii="Times New Roman" w:hAnsi="Times New Roman"/>
          <w:lang w:val="zh-CN"/>
        </w:rPr>
        <w:t>》</w:t>
      </w:r>
      <w:r>
        <w:rPr>
          <w:rFonts w:ascii="Times New Roman" w:hAnsi="Times New Roman"/>
          <w:color w:val="000000" w:themeColor="text1"/>
          <w:lang w:val="zh-CN"/>
          <w14:textFill>
            <w14:solidFill>
              <w14:schemeClr w14:val="tx1"/>
            </w14:solidFill>
          </w14:textFill>
        </w:rPr>
        <w:t>主要内容</w:t>
      </w:r>
      <w:r>
        <w:rPr>
          <w:rFonts w:ascii="Times New Roman" w:hAnsi="Times New Roman"/>
          <w:lang w:val="zh-CN"/>
        </w:rPr>
        <w:t>包括</w:t>
      </w:r>
      <w:r>
        <w:rPr>
          <w:rFonts w:hint="eastAsia" w:ascii="Times New Roman" w:hAnsi="Times New Roman"/>
          <w:color w:val="000000" w:themeColor="text1"/>
          <w14:textFill>
            <w14:solidFill>
              <w14:schemeClr w14:val="tx1"/>
            </w14:solidFill>
          </w14:textFill>
        </w:rPr>
        <w:t>术语和定义</w:t>
      </w:r>
      <w:r>
        <w:rPr>
          <w:rFonts w:hint="eastAsia" w:ascii="Times New Roman" w:hAnsi="Times New Roman"/>
          <w:color w:val="000000" w:themeColor="text1"/>
          <w:lang w:eastAsia="zh-CN"/>
          <w14:textFill>
            <w14:solidFill>
              <w14:schemeClr w14:val="tx1"/>
            </w14:solidFill>
          </w14:textFill>
        </w:rPr>
        <w:t>、</w:t>
      </w:r>
      <w:r>
        <w:rPr>
          <w:rFonts w:hint="eastAsia" w:ascii="Times New Roman" w:hAnsi="Times New Roman"/>
          <w:color w:val="000000" w:themeColor="text1"/>
          <w14:textFill>
            <w14:solidFill>
              <w14:schemeClr w14:val="tx1"/>
            </w14:solidFill>
          </w14:textFill>
        </w:rPr>
        <w:t>技术要求、检测方法、检验规则、标志、包装、运输、贮存和保质期。</w:t>
      </w:r>
    </w:p>
    <w:p w14:paraId="2389968B">
      <w:pPr>
        <w:spacing w:line="660" w:lineRule="exact"/>
        <w:ind w:firstLine="643"/>
        <w:rPr>
          <w:rFonts w:ascii="Times New Roman" w:hAnsi="Times New Roman"/>
          <w:b/>
        </w:rPr>
      </w:pPr>
      <w:r>
        <w:rPr>
          <w:rFonts w:hint="eastAsia" w:ascii="Times New Roman" w:hAnsi="Times New Roman"/>
          <w:b/>
        </w:rPr>
        <w:t>（一）术语</w:t>
      </w:r>
      <w:r>
        <w:rPr>
          <w:rFonts w:ascii="Times New Roman" w:hAnsi="Times New Roman"/>
          <w:b/>
        </w:rPr>
        <w:t>和定义</w:t>
      </w:r>
    </w:p>
    <w:p w14:paraId="70612703">
      <w:pPr>
        <w:pStyle w:val="175"/>
        <w:spacing w:line="660" w:lineRule="exact"/>
        <w:ind w:firstLine="640"/>
        <w:rPr>
          <w:rFonts w:ascii="Times New Roman" w:eastAsia="仿宋"/>
          <w:color w:val="000000" w:themeColor="text1"/>
          <w:kern w:val="2"/>
          <w:sz w:val="32"/>
          <w:szCs w:val="32"/>
          <w14:textFill>
            <w14:solidFill>
              <w14:schemeClr w14:val="tx1"/>
            </w14:solidFill>
          </w14:textFill>
        </w:rPr>
      </w:pPr>
      <w:r>
        <w:rPr>
          <w:rFonts w:hint="eastAsia" w:ascii="Times New Roman" w:hAnsi="Times New Roman" w:eastAsia="仿宋" w:cs="Times New Roman"/>
          <w:b/>
          <w:color w:val="000000"/>
          <w:kern w:val="2"/>
          <w:sz w:val="32"/>
          <w:szCs w:val="32"/>
          <w:lang w:val="en-US" w:eastAsia="zh-CN" w:bidi="ar-SA"/>
        </w:rPr>
        <w:t>金花茶提取物：</w:t>
      </w:r>
      <w:r>
        <w:rPr>
          <w:rFonts w:hint="eastAsia" w:ascii="Times New Roman" w:eastAsia="仿宋"/>
          <w:color w:val="000000" w:themeColor="text1"/>
          <w:kern w:val="2"/>
          <w:sz w:val="32"/>
          <w:szCs w:val="32"/>
          <w14:textFill>
            <w14:solidFill>
              <w14:schemeClr w14:val="tx1"/>
            </w14:solidFill>
          </w14:textFill>
        </w:rPr>
        <w:t>目前对于金花茶提取物还未有相关的明确定义，为突出金花茶提取物的特点，本文件设置了“金花茶提取物”术语定义：金花茶（花或叶）提取物的主要活性成分：总多酚 (Polyphenol)、总黄酮、总多糖等。其中多酚化合物包括儿茶素类、黄烷酮类、酚酸类和花色苷等四大类物质。黄酮类化合物主要包括槲皮素和山奈素等物质。多糖类物质成分更复杂，是一类由醛糖或酮糖通过糖苷键连接而成的天然高分子多聚物。</w:t>
      </w:r>
    </w:p>
    <w:p w14:paraId="7C7E7C3B">
      <w:pPr>
        <w:spacing w:line="660" w:lineRule="exact"/>
        <w:ind w:firstLine="643"/>
        <w:rPr>
          <w:rFonts w:ascii="Times New Roman" w:hAnsi="Times New Roman"/>
          <w:color w:val="000000" w:themeColor="text1"/>
          <w14:textFill>
            <w14:solidFill>
              <w14:schemeClr w14:val="tx1"/>
            </w14:solidFill>
          </w14:textFill>
        </w:rPr>
      </w:pPr>
      <w:r>
        <w:rPr>
          <w:rFonts w:hint="eastAsia" w:ascii="Times New Roman" w:hAnsi="Times New Roman"/>
          <w:b/>
          <w:lang w:eastAsia="zh-CN"/>
        </w:rPr>
        <w:t>活性成分：</w:t>
      </w:r>
      <w:r>
        <w:rPr>
          <w:rFonts w:hint="eastAsia" w:ascii="Times New Roman" w:hAnsi="Times New Roman"/>
          <w:color w:val="000000" w:themeColor="text1"/>
          <w14:textFill>
            <w14:solidFill>
              <w14:schemeClr w14:val="tx1"/>
            </w14:solidFill>
          </w14:textFill>
        </w:rPr>
        <w:t>多酚化合物中的儿茶素类、黄烷酮类、酚酸类和花色苷等四大类物质，以及黄酮类化合物中的槲皮素和山奈素等物质，在INCI（International Nomenclature of Cosmetic Ingredients，国际化妆品原料命名）体系中均有特定的名称。例如，槲皮素的INCI名称为Quercetin，而山奈素的INCI名称为Kaempferol。CAS号（Chemical Abstracts Service number，化学文摘服务号）是化学物质的唯一数字识别码，用于唯一标识化学物质。对于金花茶提取物中的多酚化合物和黄酮类化合物，每一种具体的化合物均有其独特的CAS号。分子式则是描述化学物质组成的化学式，表示了化学物质的元素组成及其原子比例。例如，槲皮素的分子式为C15H10O7，而山奈素的分子式为C15H10O6。这些INCI名称、CAS号和分子式是理解和识别金花茶提取物中活性成分的基础。</w:t>
      </w:r>
    </w:p>
    <w:p w14:paraId="1B70EAC2">
      <w:pPr>
        <w:spacing w:line="660" w:lineRule="exact"/>
        <w:ind w:firstLine="643"/>
        <w:rPr>
          <w:rFonts w:ascii="Times New Roman" w:hAnsi="Times New Roman"/>
          <w:b/>
        </w:rPr>
      </w:pPr>
      <w:r>
        <w:rPr>
          <w:rFonts w:hint="eastAsia" w:ascii="Times New Roman" w:hAnsi="Times New Roman"/>
          <w:b/>
        </w:rPr>
        <w:t>（</w:t>
      </w:r>
      <w:r>
        <w:rPr>
          <w:rFonts w:hint="eastAsia" w:ascii="Times New Roman" w:hAnsi="Times New Roman"/>
          <w:b/>
          <w:lang w:eastAsia="zh-CN"/>
        </w:rPr>
        <w:t>二</w:t>
      </w:r>
      <w:r>
        <w:rPr>
          <w:rFonts w:hint="eastAsia" w:ascii="Times New Roman" w:hAnsi="Times New Roman"/>
          <w:b/>
        </w:rPr>
        <w:t>）技术要求</w:t>
      </w:r>
    </w:p>
    <w:p w14:paraId="55EAC9C0">
      <w:pPr>
        <w:spacing w:line="660" w:lineRule="exact"/>
        <w:ind w:firstLine="643" w:firstLineChars="200"/>
        <w:rPr>
          <w:rFonts w:ascii="Times New Roman" w:hAnsi="Times New Roman"/>
          <w:b/>
        </w:rPr>
      </w:pPr>
      <w:r>
        <w:rPr>
          <w:rFonts w:hint="eastAsia" w:ascii="Times New Roman" w:hAnsi="Times New Roman"/>
          <w:b/>
        </w:rPr>
        <w:t>1、工艺要求</w:t>
      </w:r>
    </w:p>
    <w:p w14:paraId="2B4AAA36">
      <w:pPr>
        <w:spacing w:line="660" w:lineRule="exact"/>
        <w:ind w:firstLine="643"/>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分别对“植物原料”、“工艺过程”提出要求，以确保金花茶提取物有效成分最大化。对于“植物原料”，要求叶或花，叶尚绿时采收或花期时采收，及时干燥，以保证提取物的纯度和质量。对于“工艺过程”，要求采用水蒸馏法的提取方法，同时严格控制提取温度、时间和溶剂种类等参数，以最大程度地保留和提取金花茶中的有效成分。</w:t>
      </w:r>
    </w:p>
    <w:p w14:paraId="6A709CD3">
      <w:pPr>
        <w:spacing w:line="660" w:lineRule="exact"/>
        <w:ind w:firstLine="643" w:firstLineChars="200"/>
        <w:rPr>
          <w:rFonts w:ascii="Times New Roman" w:hAnsi="Times New Roman"/>
          <w:b/>
        </w:rPr>
      </w:pPr>
      <w:r>
        <w:rPr>
          <w:rFonts w:hint="eastAsia" w:ascii="Times New Roman" w:hAnsi="Times New Roman"/>
          <w:b/>
        </w:rPr>
        <w:t>2、技术指标</w:t>
      </w:r>
    </w:p>
    <w:p w14:paraId="7D3D483B">
      <w:pPr>
        <w:pStyle w:val="47"/>
        <w:spacing w:line="660" w:lineRule="exact"/>
        <w:ind w:firstLine="640"/>
        <w:rPr>
          <w:rFonts w:hint="eastAsia" w:ascii="Times New Roman" w:eastAsia="仿宋"/>
          <w:color w:val="000000" w:themeColor="text1"/>
          <w:kern w:val="2"/>
          <w:sz w:val="32"/>
          <w:szCs w:val="32"/>
          <w14:textFill>
            <w14:solidFill>
              <w14:schemeClr w14:val="tx1"/>
            </w14:solidFill>
          </w14:textFill>
        </w:rPr>
      </w:pPr>
      <w:r>
        <w:rPr>
          <w:rFonts w:hint="eastAsia" w:ascii="Times New Roman" w:eastAsia="仿宋"/>
          <w:color w:val="000000" w:themeColor="text1"/>
          <w:kern w:val="2"/>
          <w:sz w:val="32"/>
          <w:szCs w:val="32"/>
          <w14:textFill>
            <w14:solidFill>
              <w14:schemeClr w14:val="tx1"/>
            </w14:solidFill>
          </w14:textFill>
        </w:rPr>
        <w:t>因特征指标的差异，为细分要求，依据总多酚、总黄酮、总多糖含量将技术指标要求分为“叶提取物”、“花提取物”两类。其中，“叶提取物”要求总多酚含量不低于某一具体数值，总黄酮含量和总多糖含量也需满足相应标准，以确保其抗氧化和保健功能的有效发挥。而“花提取物”的技术指标则更为严格，总多酚、总黄酮含量需达到更高水平，同时总多糖含量也有特定要求，以保证其卓越的生理活性和应用效果。这些技术指标的设定，旨在确保金花茶提取物在食品、保健品、化妆品等领域的应用中具有稳定的质量和明确的功效。</w:t>
      </w:r>
    </w:p>
    <w:p w14:paraId="3308E9C2">
      <w:pPr>
        <w:pStyle w:val="175"/>
        <w:spacing w:line="660" w:lineRule="exact"/>
        <w:ind w:firstLine="640"/>
        <w:rPr>
          <w:rFonts w:ascii="Times New Roman" w:eastAsia="仿宋"/>
          <w:color w:val="000000" w:themeColor="text1"/>
          <w:kern w:val="2"/>
          <w:sz w:val="32"/>
          <w:szCs w:val="32"/>
          <w14:textFill>
            <w14:solidFill>
              <w14:schemeClr w14:val="tx1"/>
            </w14:solidFill>
          </w14:textFill>
        </w:rPr>
      </w:pPr>
      <w:r>
        <w:rPr>
          <w:rFonts w:hint="eastAsia" w:ascii="Times New Roman" w:eastAsia="仿宋"/>
          <w:color w:val="000000" w:themeColor="text1"/>
          <w:kern w:val="2"/>
          <w:sz w:val="32"/>
          <w:szCs w:val="32"/>
          <w14:textFill>
            <w14:solidFill>
              <w14:schemeClr w14:val="tx1"/>
            </w14:solidFill>
          </w14:textFill>
        </w:rPr>
        <w:t>微生物指标、重金属指标等技术指标主要参考</w:t>
      </w:r>
      <w:r>
        <w:rPr>
          <w:rFonts w:hint="eastAsia" w:ascii="Times New Roman" w:eastAsia="仿宋"/>
          <w:color w:val="000000"/>
          <w:kern w:val="2"/>
          <w:sz w:val="32"/>
          <w:szCs w:val="32"/>
        </w:rPr>
        <w:t>《GB/T 33306-2016 化妆品用原料 D-泛醇》、《QB/T 4951-2016 化妆品用原料 光果甘草（Glycyrrhiza glabra）根提取物》</w:t>
      </w:r>
      <w:r>
        <w:rPr>
          <w:rFonts w:hint="eastAsia" w:ascii="Times New Roman" w:eastAsia="仿宋"/>
          <w:color w:val="000000"/>
          <w:kern w:val="2"/>
          <w:sz w:val="32"/>
          <w:szCs w:val="32"/>
          <w:lang w:eastAsia="zh-CN"/>
        </w:rPr>
        <w:t>（同为植物原料）</w:t>
      </w:r>
      <w:r>
        <w:rPr>
          <w:rFonts w:hint="eastAsia" w:ascii="Times New Roman" w:eastAsia="仿宋"/>
          <w:color w:val="000000"/>
          <w:kern w:val="2"/>
          <w:sz w:val="32"/>
          <w:szCs w:val="32"/>
        </w:rPr>
        <w:t>中技术指标有关规定</w:t>
      </w:r>
      <w:r>
        <w:rPr>
          <w:rFonts w:hint="eastAsia" w:ascii="Times New Roman" w:eastAsia="仿宋"/>
          <w:color w:val="000000"/>
          <w:kern w:val="2"/>
          <w:sz w:val="32"/>
          <w:szCs w:val="32"/>
          <w:lang w:eastAsia="zh-CN"/>
        </w:rPr>
        <w:t>。其中，</w:t>
      </w:r>
      <w:r>
        <w:rPr>
          <w:rFonts w:hint="eastAsia" w:ascii="Times New Roman" w:eastAsia="仿宋"/>
          <w:color w:val="000000"/>
          <w:kern w:val="2"/>
          <w:sz w:val="32"/>
          <w:szCs w:val="32"/>
        </w:rPr>
        <w:t>铅（Pb）/（mg/kg）</w:t>
      </w:r>
      <w:r>
        <w:rPr>
          <w:rFonts w:hint="eastAsia" w:ascii="Times New Roman" w:eastAsia="仿宋"/>
          <w:color w:val="000000"/>
          <w:kern w:val="2"/>
          <w:sz w:val="32"/>
          <w:szCs w:val="32"/>
          <w:lang w:eastAsia="zh-CN"/>
        </w:rPr>
        <w:t>参照</w:t>
      </w:r>
      <w:r>
        <w:rPr>
          <w:rFonts w:hint="eastAsia" w:ascii="Times New Roman" w:eastAsia="仿宋"/>
          <w:color w:val="000000"/>
          <w:kern w:val="2"/>
          <w:sz w:val="32"/>
          <w:szCs w:val="32"/>
        </w:rPr>
        <w:t>《GB/T 33306-2016 化妆品用原料 D-泛醇</w:t>
      </w:r>
      <w:r>
        <w:rPr>
          <w:rFonts w:hint="eastAsia" w:ascii="Times New Roman" w:eastAsia="仿宋"/>
          <w:color w:val="000000"/>
          <w:kern w:val="2"/>
          <w:sz w:val="32"/>
          <w:szCs w:val="32"/>
          <w:lang w:eastAsia="zh-CN"/>
        </w:rPr>
        <w:t>》</w:t>
      </w:r>
      <w:r>
        <w:rPr>
          <w:rFonts w:hint="eastAsia" w:ascii="Times New Roman" w:eastAsia="仿宋"/>
          <w:color w:val="000000"/>
          <w:kern w:val="2"/>
          <w:sz w:val="32"/>
          <w:szCs w:val="32"/>
          <w:lang w:eastAsia="zh-CN"/>
        </w:rPr>
        <w:t>规定为≤10；</w:t>
      </w:r>
      <w:r>
        <w:rPr>
          <w:rFonts w:hint="eastAsia" w:ascii="Times New Roman" w:eastAsia="仿宋"/>
          <w:color w:val="000000"/>
          <w:kern w:val="2"/>
          <w:sz w:val="32"/>
          <w:szCs w:val="32"/>
        </w:rPr>
        <w:t>砷（As）</w:t>
      </w:r>
      <w:r>
        <w:rPr>
          <w:rFonts w:hint="eastAsia" w:ascii="Times New Roman" w:eastAsia="仿宋"/>
          <w:color w:val="000000"/>
          <w:kern w:val="2"/>
          <w:sz w:val="32"/>
          <w:szCs w:val="32"/>
        </w:rPr>
        <w:t>/（mg/kg）</w:t>
      </w:r>
      <w:r>
        <w:rPr>
          <w:rFonts w:hint="eastAsia" w:ascii="Times New Roman" w:eastAsia="仿宋"/>
          <w:color w:val="000000"/>
          <w:kern w:val="2"/>
          <w:sz w:val="32"/>
          <w:szCs w:val="32"/>
          <w:lang w:eastAsia="zh-CN"/>
        </w:rPr>
        <w:t>参照</w:t>
      </w:r>
      <w:r>
        <w:rPr>
          <w:rFonts w:hint="eastAsia" w:ascii="Times New Roman" w:eastAsia="仿宋"/>
          <w:color w:val="000000"/>
          <w:kern w:val="2"/>
          <w:sz w:val="32"/>
          <w:szCs w:val="32"/>
        </w:rPr>
        <w:t>《GB/T 33306-2016 化妆品用原料 D-泛醇</w:t>
      </w:r>
      <w:r>
        <w:rPr>
          <w:rFonts w:hint="eastAsia" w:ascii="Times New Roman" w:eastAsia="仿宋"/>
          <w:color w:val="000000"/>
          <w:kern w:val="2"/>
          <w:sz w:val="32"/>
          <w:szCs w:val="32"/>
          <w:lang w:eastAsia="zh-CN"/>
        </w:rPr>
        <w:t>》规定为≤</w:t>
      </w:r>
      <w:r>
        <w:rPr>
          <w:rFonts w:hint="eastAsia" w:ascii="Times New Roman" w:eastAsia="仿宋"/>
          <w:color w:val="000000"/>
          <w:kern w:val="2"/>
          <w:sz w:val="32"/>
          <w:szCs w:val="32"/>
          <w:lang w:val="en-US" w:eastAsia="zh-CN"/>
        </w:rPr>
        <w:t>2</w:t>
      </w:r>
      <w:r>
        <w:rPr>
          <w:rFonts w:hint="eastAsia" w:ascii="Times New Roman" w:eastAsia="仿宋"/>
          <w:color w:val="000000"/>
          <w:kern w:val="2"/>
          <w:sz w:val="32"/>
          <w:szCs w:val="32"/>
          <w:lang w:eastAsia="zh-CN"/>
        </w:rPr>
        <w:t>；汞（Hg）/（mg/kg</w:t>
      </w:r>
      <w:r>
        <w:rPr>
          <w:rFonts w:hint="eastAsia" w:ascii="Times New Roman" w:eastAsia="仿宋"/>
          <w:color w:val="000000"/>
          <w:kern w:val="2"/>
          <w:sz w:val="32"/>
          <w:szCs w:val="32"/>
        </w:rPr>
        <w:t>）</w:t>
      </w:r>
      <w:r>
        <w:rPr>
          <w:rFonts w:hint="eastAsia" w:ascii="Times New Roman" w:eastAsia="仿宋"/>
          <w:color w:val="000000"/>
          <w:kern w:val="2"/>
          <w:sz w:val="32"/>
          <w:szCs w:val="32"/>
          <w:lang w:eastAsia="zh-CN"/>
        </w:rPr>
        <w:t>参照</w:t>
      </w:r>
      <w:r>
        <w:rPr>
          <w:rFonts w:hint="eastAsia" w:ascii="Times New Roman" w:eastAsia="仿宋"/>
          <w:color w:val="000000"/>
          <w:kern w:val="2"/>
          <w:sz w:val="32"/>
          <w:szCs w:val="32"/>
        </w:rPr>
        <w:t>《GB/T 33306-2016 化妆品用原料 D-泛醇</w:t>
      </w:r>
      <w:r>
        <w:rPr>
          <w:rFonts w:hint="eastAsia" w:ascii="Times New Roman" w:eastAsia="仿宋"/>
          <w:color w:val="000000"/>
          <w:kern w:val="2"/>
          <w:sz w:val="32"/>
          <w:szCs w:val="32"/>
          <w:lang w:eastAsia="zh-CN"/>
        </w:rPr>
        <w:t>》和</w:t>
      </w:r>
      <w:r>
        <w:rPr>
          <w:rFonts w:hint="eastAsia" w:ascii="Times New Roman" w:eastAsia="仿宋"/>
          <w:color w:val="000000"/>
          <w:kern w:val="2"/>
          <w:sz w:val="32"/>
          <w:szCs w:val="32"/>
        </w:rPr>
        <w:t>《QB/T 4951-2016 化妆品用原料 光果甘草（Glycyrrhiza glabra）根提取物》</w:t>
      </w:r>
      <w:r>
        <w:rPr>
          <w:rFonts w:hint="eastAsia" w:ascii="Times New Roman" w:eastAsia="仿宋"/>
          <w:color w:val="000000"/>
          <w:kern w:val="2"/>
          <w:sz w:val="32"/>
          <w:szCs w:val="32"/>
          <w:lang w:eastAsia="zh-CN"/>
        </w:rPr>
        <w:t>规定为≤</w:t>
      </w:r>
      <w:r>
        <w:rPr>
          <w:rFonts w:hint="eastAsia" w:ascii="Times New Roman" w:eastAsia="仿宋"/>
          <w:color w:val="000000"/>
          <w:kern w:val="2"/>
          <w:sz w:val="32"/>
          <w:szCs w:val="32"/>
          <w:lang w:val="en-US" w:eastAsia="zh-CN"/>
        </w:rPr>
        <w:t>1</w:t>
      </w:r>
      <w:r>
        <w:rPr>
          <w:rFonts w:hint="eastAsia" w:ascii="Times New Roman" w:eastAsia="仿宋"/>
          <w:color w:val="000000"/>
          <w:kern w:val="2"/>
          <w:sz w:val="32"/>
          <w:szCs w:val="32"/>
          <w:lang w:eastAsia="zh-CN"/>
        </w:rPr>
        <w:t>；</w:t>
      </w:r>
      <w:r>
        <w:rPr>
          <w:rFonts w:hint="eastAsia" w:ascii="Times New Roman" w:eastAsia="仿宋"/>
          <w:color w:val="000000"/>
          <w:kern w:val="2"/>
          <w:sz w:val="32"/>
          <w:szCs w:val="32"/>
        </w:rPr>
        <w:t>菌落总数/（CFU/g或CFU/mL）</w:t>
      </w:r>
      <w:r>
        <w:rPr>
          <w:rFonts w:hint="eastAsia" w:ascii="Times New Roman" w:eastAsia="仿宋"/>
          <w:color w:val="000000"/>
          <w:kern w:val="2"/>
          <w:sz w:val="32"/>
          <w:szCs w:val="32"/>
          <w:lang w:eastAsia="zh-CN"/>
        </w:rPr>
        <w:t>参照</w:t>
      </w:r>
      <w:r>
        <w:rPr>
          <w:rFonts w:hint="eastAsia" w:ascii="Times New Roman" w:eastAsia="仿宋"/>
          <w:color w:val="000000"/>
          <w:kern w:val="2"/>
          <w:sz w:val="32"/>
          <w:szCs w:val="32"/>
        </w:rPr>
        <w:t>《GB/T 33306-2016 化妆品用原料 D-泛醇</w:t>
      </w:r>
      <w:r>
        <w:rPr>
          <w:rFonts w:hint="eastAsia" w:ascii="Times New Roman" w:eastAsia="仿宋"/>
          <w:color w:val="000000"/>
          <w:kern w:val="2"/>
          <w:sz w:val="32"/>
          <w:szCs w:val="32"/>
          <w:lang w:eastAsia="zh-CN"/>
        </w:rPr>
        <w:t>》和</w:t>
      </w:r>
      <w:r>
        <w:rPr>
          <w:rFonts w:hint="eastAsia" w:ascii="Times New Roman" w:eastAsia="仿宋"/>
          <w:color w:val="000000"/>
          <w:kern w:val="2"/>
          <w:sz w:val="32"/>
          <w:szCs w:val="32"/>
        </w:rPr>
        <w:t>《QB/T 4951-2016 化妆品用原料 光果甘草（Glycyrrhiza glabra）根提取物》</w:t>
      </w:r>
      <w:r>
        <w:rPr>
          <w:rFonts w:hint="eastAsia" w:ascii="Times New Roman" w:eastAsia="仿宋"/>
          <w:color w:val="000000"/>
          <w:kern w:val="2"/>
          <w:sz w:val="32"/>
          <w:szCs w:val="32"/>
          <w:lang w:eastAsia="zh-CN"/>
        </w:rPr>
        <w:t>规定≤</w:t>
      </w:r>
      <w:r>
        <w:rPr>
          <w:rFonts w:hint="eastAsia" w:ascii="Times New Roman" w:eastAsia="仿宋"/>
          <w:color w:val="000000"/>
          <w:kern w:val="2"/>
          <w:sz w:val="32"/>
          <w:szCs w:val="32"/>
          <w:lang w:val="en-US" w:eastAsia="zh-CN"/>
        </w:rPr>
        <w:t>100；</w:t>
      </w:r>
      <w:r>
        <w:rPr>
          <w:rFonts w:hint="eastAsia" w:ascii="Times New Roman" w:eastAsia="仿宋"/>
          <w:color w:val="000000"/>
          <w:kern w:val="2"/>
          <w:sz w:val="32"/>
          <w:szCs w:val="32"/>
        </w:rPr>
        <w:t>霉菌和酵母菌总数/（CFU/g或CFU/mL）</w:t>
      </w:r>
      <w:r>
        <w:rPr>
          <w:rFonts w:hint="eastAsia" w:ascii="Times New Roman" w:eastAsia="仿宋"/>
          <w:color w:val="000000"/>
          <w:kern w:val="2"/>
          <w:sz w:val="32"/>
          <w:szCs w:val="32"/>
          <w:lang w:eastAsia="zh-CN"/>
        </w:rPr>
        <w:t>参照同为化妆品植物原料的</w:t>
      </w:r>
      <w:r>
        <w:rPr>
          <w:rFonts w:hint="eastAsia" w:ascii="Times New Roman" w:eastAsia="仿宋"/>
          <w:color w:val="000000"/>
          <w:kern w:val="2"/>
          <w:sz w:val="32"/>
          <w:szCs w:val="32"/>
        </w:rPr>
        <w:t>《QB/T 4951-2016 化妆品用原料 光果甘草（Glycyrrhiza glabra）根提取物》</w:t>
      </w:r>
      <w:r>
        <w:rPr>
          <w:rFonts w:hint="eastAsia" w:ascii="Times New Roman" w:eastAsia="仿宋"/>
          <w:color w:val="000000"/>
          <w:kern w:val="2"/>
          <w:sz w:val="32"/>
          <w:szCs w:val="32"/>
          <w:lang w:eastAsia="zh-CN"/>
        </w:rPr>
        <w:t>规定≤</w:t>
      </w:r>
      <w:r>
        <w:rPr>
          <w:rFonts w:hint="eastAsia" w:ascii="Times New Roman" w:eastAsia="仿宋"/>
          <w:color w:val="000000"/>
          <w:kern w:val="2"/>
          <w:sz w:val="32"/>
          <w:szCs w:val="32"/>
          <w:lang w:val="en-US" w:eastAsia="zh-CN"/>
        </w:rPr>
        <w:t>100；粪大肠菌群、金黄色葡萄球菌、绿脓杆菌GB7916-1987  化妆品卫生标准规定为“不得检出”：</w:t>
      </w:r>
    </w:p>
    <w:p w14:paraId="77FC87B9">
      <w:pPr>
        <w:pStyle w:val="47"/>
        <w:spacing w:line="660" w:lineRule="exact"/>
        <w:ind w:firstLine="640"/>
        <w:rPr>
          <w:rFonts w:ascii="Times New Roman" w:eastAsia="仿宋"/>
          <w:color w:val="000000" w:themeColor="text1"/>
          <w:kern w:val="2"/>
          <w:sz w:val="32"/>
          <w:szCs w:val="32"/>
          <w14:textFill>
            <w14:solidFill>
              <w14:schemeClr w14:val="tx1"/>
            </w14:solidFill>
          </w14:textFill>
        </w:rPr>
      </w:pPr>
      <w:r>
        <w:rPr>
          <w:rFonts w:hint="eastAsia" w:ascii="Times New Roman" w:eastAsia="仿宋"/>
          <w:color w:val="000000" w:themeColor="text1"/>
          <w:kern w:val="2"/>
          <w:sz w:val="32"/>
          <w:szCs w:val="32"/>
          <w14:textFill>
            <w14:solidFill>
              <w14:schemeClr w14:val="tx1"/>
            </w14:solidFill>
          </w14:textFill>
        </w:rPr>
        <w:drawing>
          <wp:anchor distT="0" distB="0" distL="114300" distR="114300" simplePos="0" relativeHeight="251664384" behindDoc="0" locked="0" layoutInCell="1" allowOverlap="1">
            <wp:simplePos x="0" y="0"/>
            <wp:positionH relativeFrom="column">
              <wp:posOffset>176530</wp:posOffset>
            </wp:positionH>
            <wp:positionV relativeFrom="paragraph">
              <wp:posOffset>230505</wp:posOffset>
            </wp:positionV>
            <wp:extent cx="5285740" cy="3789680"/>
            <wp:effectExtent l="0" t="0" r="10160" b="7620"/>
            <wp:wrapTopAndBottom/>
            <wp:docPr id="5" name="图片 5" descr="2b4a7862372a19d133874c94f6701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b4a7862372a19d133874c94f6701ad"/>
                    <pic:cNvPicPr>
                      <a:picLocks noChangeAspect="1"/>
                    </pic:cNvPicPr>
                  </pic:nvPicPr>
                  <pic:blipFill>
                    <a:blip r:embed="rId9"/>
                    <a:stretch>
                      <a:fillRect/>
                    </a:stretch>
                  </pic:blipFill>
                  <pic:spPr>
                    <a:xfrm>
                      <a:off x="0" y="0"/>
                      <a:ext cx="5285740" cy="3789680"/>
                    </a:xfrm>
                    <a:prstGeom prst="rect">
                      <a:avLst/>
                    </a:prstGeom>
                  </pic:spPr>
                </pic:pic>
              </a:graphicData>
            </a:graphic>
          </wp:anchor>
        </w:drawing>
      </w:r>
    </w:p>
    <w:p w14:paraId="2DEFB2A7">
      <w:pPr>
        <w:pStyle w:val="47"/>
        <w:spacing w:line="660" w:lineRule="exact"/>
        <w:ind w:firstLine="640"/>
        <w:rPr>
          <w:rFonts w:ascii="Times New Roman" w:eastAsia="仿宋"/>
          <w:color w:val="000000" w:themeColor="text1"/>
          <w:kern w:val="2"/>
          <w:sz w:val="32"/>
          <w:szCs w:val="32"/>
          <w14:textFill>
            <w14:solidFill>
              <w14:schemeClr w14:val="tx1"/>
            </w14:solidFill>
          </w14:textFill>
        </w:rPr>
      </w:pPr>
      <w:r>
        <w:rPr>
          <w:rFonts w:hint="eastAsia" w:ascii="Times New Roman" w:eastAsia="仿宋"/>
          <w:color w:val="000000" w:themeColor="text1"/>
          <w:kern w:val="2"/>
          <w:sz w:val="32"/>
          <w:szCs w:val="32"/>
          <w14:textFill>
            <w14:solidFill>
              <w14:schemeClr w14:val="tx1"/>
            </w14:solidFill>
          </w14:textFill>
        </w:rPr>
        <w:drawing>
          <wp:anchor distT="0" distB="0" distL="114300" distR="114300" simplePos="0" relativeHeight="251665408" behindDoc="0" locked="0" layoutInCell="1" allowOverlap="1">
            <wp:simplePos x="0" y="0"/>
            <wp:positionH relativeFrom="column">
              <wp:posOffset>399415</wp:posOffset>
            </wp:positionH>
            <wp:positionV relativeFrom="paragraph">
              <wp:posOffset>183515</wp:posOffset>
            </wp:positionV>
            <wp:extent cx="4879340" cy="3696335"/>
            <wp:effectExtent l="0" t="0" r="10160" b="12065"/>
            <wp:wrapTopAndBottom/>
            <wp:docPr id="6" name="图片 6" descr="799429f58400d225e77e7408bdc1a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99429f58400d225e77e7408bdc1a2e"/>
                    <pic:cNvPicPr>
                      <a:picLocks noChangeAspect="1"/>
                    </pic:cNvPicPr>
                  </pic:nvPicPr>
                  <pic:blipFill>
                    <a:blip r:embed="rId10"/>
                    <a:stretch>
                      <a:fillRect/>
                    </a:stretch>
                  </pic:blipFill>
                  <pic:spPr>
                    <a:xfrm>
                      <a:off x="0" y="0"/>
                      <a:ext cx="4879340" cy="3696335"/>
                    </a:xfrm>
                    <a:prstGeom prst="rect">
                      <a:avLst/>
                    </a:prstGeom>
                  </pic:spPr>
                </pic:pic>
              </a:graphicData>
            </a:graphic>
          </wp:anchor>
        </w:drawing>
      </w:r>
    </w:p>
    <w:p w14:paraId="6FAFD798">
      <w:pPr>
        <w:pStyle w:val="47"/>
        <w:spacing w:line="660" w:lineRule="exact"/>
        <w:ind w:firstLine="640"/>
        <w:rPr>
          <w:rFonts w:hint="eastAsia" w:ascii="Times New Roman" w:eastAsia="仿宋"/>
          <w:color w:val="000000" w:themeColor="text1"/>
          <w:kern w:val="2"/>
          <w:sz w:val="32"/>
          <w:szCs w:val="32"/>
          <w14:textFill>
            <w14:solidFill>
              <w14:schemeClr w14:val="tx1"/>
            </w14:solidFill>
          </w14:textFill>
        </w:rPr>
      </w:pPr>
      <w:r>
        <w:rPr>
          <w:rFonts w:hint="eastAsia"/>
          <w:b/>
          <w:bCs/>
          <w:sz w:val="28"/>
          <w:szCs w:val="28"/>
          <w:lang w:eastAsia="zh-CN"/>
        </w:rPr>
        <w:drawing>
          <wp:anchor distT="0" distB="0" distL="0" distR="0" simplePos="0" relativeHeight="251667456" behindDoc="1" locked="0" layoutInCell="1" allowOverlap="1">
            <wp:simplePos x="0" y="0"/>
            <wp:positionH relativeFrom="page">
              <wp:posOffset>1285240</wp:posOffset>
            </wp:positionH>
            <wp:positionV relativeFrom="paragraph">
              <wp:posOffset>4119880</wp:posOffset>
            </wp:positionV>
            <wp:extent cx="5110480" cy="3636010"/>
            <wp:effectExtent l="0" t="0" r="7620" b="8890"/>
            <wp:wrapTopAndBottom/>
            <wp:docPr id="17" name="Image 17" descr="IMG_256"/>
            <wp:cNvGraphicFramePr/>
            <a:graphic xmlns:a="http://schemas.openxmlformats.org/drawingml/2006/main">
              <a:graphicData uri="http://schemas.openxmlformats.org/drawingml/2006/picture">
                <pic:pic xmlns:pic="http://schemas.openxmlformats.org/drawingml/2006/picture">
                  <pic:nvPicPr>
                    <pic:cNvPr id="17" name="Image 17" descr="IMG_256"/>
                    <pic:cNvPicPr/>
                  </pic:nvPicPr>
                  <pic:blipFill>
                    <a:blip r:embed="rId11" cstate="print"/>
                    <a:stretch>
                      <a:fillRect/>
                    </a:stretch>
                  </pic:blipFill>
                  <pic:spPr>
                    <a:xfrm>
                      <a:off x="0" y="0"/>
                      <a:ext cx="5110480" cy="3636010"/>
                    </a:xfrm>
                    <a:prstGeom prst="rect">
                      <a:avLst/>
                    </a:prstGeom>
                  </pic:spPr>
                </pic:pic>
              </a:graphicData>
            </a:graphic>
          </wp:anchor>
        </w:drawing>
      </w:r>
      <w:r>
        <w:rPr>
          <w:rFonts w:hint="eastAsia" w:ascii="Times New Roman" w:eastAsia="仿宋"/>
          <w:color w:val="000000" w:themeColor="text1"/>
          <w:kern w:val="2"/>
          <w:sz w:val="32"/>
          <w:szCs w:val="32"/>
          <w14:textFill>
            <w14:solidFill>
              <w14:schemeClr w14:val="tx1"/>
            </w14:solidFill>
          </w14:textFill>
        </w:rPr>
        <w:t>总多酚、总黄酮、总多糖的界定及其含量值的规定如下：主要起草单位广西和桂集团有限公司早在2023年年底即开始关注“金花茶提取物”这一课题，在2024年期间完成了金花茶花提取液和金花茶叶提取物的成分及含量分析和测定，并以此为基础，于2025年3月11日，将“金花茶花提取物”与“金花茶叶提取物”两款化妆品新原料（备案号：国妆原备字20250024、20250025）正式通过国家药品监督管理局备案。根据以下图表分析可知，金花茶花中含有种类丰富的黄酮类化</w:t>
      </w:r>
      <w:r>
        <w:rPr>
          <w:rFonts w:hint="eastAsia" w:ascii="Times New Roman" w:eastAsia="仿宋"/>
          <w:color w:val="000000" w:themeColor="text1"/>
          <w:kern w:val="2"/>
          <w:sz w:val="32"/>
          <w:szCs w:val="32"/>
          <w:lang w:eastAsia="zh-CN"/>
          <w14:textFill>
            <w14:solidFill>
              <w14:schemeClr w14:val="tx1"/>
            </w14:solidFill>
          </w14:textFill>
        </w:rPr>
        <w:t>合</w:t>
      </w:r>
      <w:r>
        <w:rPr>
          <w:rFonts w:hint="eastAsia" w:ascii="Times New Roman" w:eastAsia="仿宋"/>
          <w:color w:val="000000" w:themeColor="text1"/>
          <w:kern w:val="2"/>
          <w:sz w:val="32"/>
          <w:szCs w:val="32"/>
          <w14:textFill>
            <w14:solidFill>
              <w14:schemeClr w14:val="tx1"/>
            </w14:solidFill>
          </w14:textFill>
        </w:rPr>
        <w:t>物，如芦丁、牡荆素、木犀草苷等，同时还含有儿茶素、原花青素等多酚类化合物。</w:t>
      </w:r>
    </w:p>
    <w:p w14:paraId="52800490">
      <w:pPr>
        <w:pStyle w:val="47"/>
        <w:spacing w:line="660" w:lineRule="exact"/>
        <w:ind w:firstLine="640"/>
        <w:rPr>
          <w:rFonts w:hint="eastAsia" w:ascii="Times New Roman" w:eastAsia="仿宋"/>
          <w:color w:val="000000" w:themeColor="text1"/>
          <w:kern w:val="2"/>
          <w:sz w:val="32"/>
          <w:szCs w:val="32"/>
          <w14:textFill>
            <w14:solidFill>
              <w14:schemeClr w14:val="tx1"/>
            </w14:solidFill>
          </w14:textFill>
        </w:rPr>
      </w:pPr>
    </w:p>
    <w:p w14:paraId="2ABFAD61">
      <w:pPr>
        <w:pStyle w:val="47"/>
        <w:spacing w:line="660" w:lineRule="exact"/>
        <w:ind w:firstLine="2811" w:firstLineChars="1000"/>
        <w:rPr>
          <w:rFonts w:ascii="Times New Roman"/>
        </w:rPr>
      </w:pPr>
      <w:r>
        <w:rPr>
          <w:rFonts w:hint="eastAsia"/>
          <w:b/>
          <w:bCs/>
          <w:sz w:val="28"/>
          <w:szCs w:val="28"/>
          <w:lang w:eastAsia="zh-CN"/>
        </w:rPr>
        <w:t xml:space="preserve">     </w:t>
      </w:r>
      <w:r>
        <w:rPr>
          <w:rFonts w:hint="eastAsia" w:ascii="Times New Roman"/>
        </w:rPr>
        <w:t xml:space="preserve">   </w:t>
      </w:r>
    </w:p>
    <w:p w14:paraId="278883FF">
      <w:pPr>
        <w:pStyle w:val="47"/>
        <w:spacing w:line="660" w:lineRule="exact"/>
        <w:ind w:firstLine="3780" w:firstLineChars="1800"/>
        <w:rPr>
          <w:rFonts w:ascii="Times New Roman"/>
        </w:rPr>
      </w:pPr>
      <w:r>
        <w:rPr>
          <w:rFonts w:ascii="Times New Roman" w:eastAsia="Times New Roman"/>
        </w:rPr>
        <w:drawing>
          <wp:anchor distT="0" distB="0" distL="0" distR="0" simplePos="0" relativeHeight="251659264" behindDoc="0" locked="0" layoutInCell="1" allowOverlap="1">
            <wp:simplePos x="0" y="0"/>
            <wp:positionH relativeFrom="page">
              <wp:posOffset>1296035</wp:posOffset>
            </wp:positionH>
            <wp:positionV relativeFrom="paragraph">
              <wp:posOffset>181610</wp:posOffset>
            </wp:positionV>
            <wp:extent cx="5134610" cy="3447415"/>
            <wp:effectExtent l="0" t="0" r="8890" b="6985"/>
            <wp:wrapNone/>
            <wp:docPr id="18" name="Image 18" descr="IMG_256"/>
            <wp:cNvGraphicFramePr/>
            <a:graphic xmlns:a="http://schemas.openxmlformats.org/drawingml/2006/main">
              <a:graphicData uri="http://schemas.openxmlformats.org/drawingml/2006/picture">
                <pic:pic xmlns:pic="http://schemas.openxmlformats.org/drawingml/2006/picture">
                  <pic:nvPicPr>
                    <pic:cNvPr id="18" name="Image 18" descr="IMG_256"/>
                    <pic:cNvPicPr/>
                  </pic:nvPicPr>
                  <pic:blipFill>
                    <a:blip r:embed="rId12" cstate="print"/>
                    <a:stretch>
                      <a:fillRect/>
                    </a:stretch>
                  </pic:blipFill>
                  <pic:spPr>
                    <a:xfrm>
                      <a:off x="0" y="0"/>
                      <a:ext cx="5134610" cy="3447415"/>
                    </a:xfrm>
                    <a:prstGeom prst="rect">
                      <a:avLst/>
                    </a:prstGeom>
                  </pic:spPr>
                </pic:pic>
              </a:graphicData>
            </a:graphic>
          </wp:anchor>
        </w:drawing>
      </w:r>
    </w:p>
    <w:p w14:paraId="3B3C9199">
      <w:pPr>
        <w:pStyle w:val="47"/>
        <w:spacing w:line="660" w:lineRule="exact"/>
        <w:ind w:firstLine="640"/>
        <w:rPr>
          <w:rFonts w:ascii="Times New Roman" w:eastAsia="仿宋"/>
          <w:color w:val="000000" w:themeColor="text1"/>
          <w:kern w:val="2"/>
          <w:sz w:val="32"/>
          <w:szCs w:val="32"/>
          <w14:textFill>
            <w14:solidFill>
              <w14:schemeClr w14:val="tx1"/>
            </w14:solidFill>
          </w14:textFill>
        </w:rPr>
      </w:pPr>
    </w:p>
    <w:p w14:paraId="1DAA6AC2">
      <w:pPr>
        <w:pStyle w:val="47"/>
        <w:spacing w:line="660" w:lineRule="exact"/>
        <w:ind w:firstLine="640"/>
        <w:rPr>
          <w:rFonts w:ascii="Times New Roman" w:eastAsia="仿宋"/>
          <w:color w:val="000000" w:themeColor="text1"/>
          <w:kern w:val="2"/>
          <w:sz w:val="32"/>
          <w:szCs w:val="32"/>
          <w14:textFill>
            <w14:solidFill>
              <w14:schemeClr w14:val="tx1"/>
            </w14:solidFill>
          </w14:textFill>
        </w:rPr>
      </w:pPr>
    </w:p>
    <w:p w14:paraId="2DCE5597">
      <w:pPr>
        <w:pStyle w:val="47"/>
        <w:spacing w:line="660" w:lineRule="exact"/>
        <w:ind w:firstLine="640"/>
        <w:rPr>
          <w:rFonts w:ascii="Times New Roman" w:eastAsia="仿宋"/>
          <w:color w:val="000000" w:themeColor="text1"/>
          <w:kern w:val="2"/>
          <w:sz w:val="32"/>
          <w:szCs w:val="32"/>
          <w14:textFill>
            <w14:solidFill>
              <w14:schemeClr w14:val="tx1"/>
            </w14:solidFill>
          </w14:textFill>
        </w:rPr>
      </w:pPr>
    </w:p>
    <w:p w14:paraId="5FB655C6">
      <w:pPr>
        <w:pStyle w:val="16"/>
        <w:spacing w:before="55" w:line="660" w:lineRule="exact"/>
        <w:ind w:right="379" w:firstLine="640" w:firstLineChars="200"/>
        <w:rPr>
          <w:rFonts w:ascii="Times New Roman" w:hAnsi="Times New Roman"/>
        </w:rPr>
      </w:pPr>
    </w:p>
    <w:p w14:paraId="7105778D">
      <w:pPr>
        <w:pStyle w:val="16"/>
        <w:spacing w:before="55" w:line="660" w:lineRule="exact"/>
        <w:ind w:right="379" w:firstLine="640" w:firstLineChars="200"/>
        <w:rPr>
          <w:rFonts w:ascii="Times New Roman" w:hAnsi="Times New Roman"/>
        </w:rPr>
      </w:pPr>
    </w:p>
    <w:p w14:paraId="6189F4EA">
      <w:pPr>
        <w:pStyle w:val="16"/>
        <w:spacing w:before="55" w:line="660" w:lineRule="exact"/>
        <w:ind w:right="379" w:firstLine="562" w:firstLineChars="200"/>
        <w:jc w:val="center"/>
        <w:rPr>
          <w:rFonts w:hint="eastAsia" w:ascii="宋体" w:hAnsi="Times New Roman" w:eastAsia="宋体" w:cs="Times New Roman"/>
          <w:b/>
          <w:bCs/>
          <w:sz w:val="28"/>
          <w:szCs w:val="28"/>
          <w:lang w:val="en-US" w:eastAsia="zh-CN" w:bidi="ar-SA"/>
        </w:rPr>
      </w:pPr>
    </w:p>
    <w:p w14:paraId="64267DF7">
      <w:pPr>
        <w:pStyle w:val="16"/>
        <w:spacing w:before="55" w:line="660" w:lineRule="exact"/>
        <w:ind w:right="379" w:firstLine="562" w:firstLineChars="200"/>
        <w:jc w:val="center"/>
        <w:rPr>
          <w:rFonts w:hint="eastAsia" w:ascii="宋体" w:hAnsi="Times New Roman" w:eastAsia="宋体" w:cs="Times New Roman"/>
          <w:b/>
          <w:bCs/>
          <w:sz w:val="28"/>
          <w:szCs w:val="28"/>
          <w:lang w:val="en-US" w:eastAsia="zh-CN" w:bidi="ar-SA"/>
        </w:rPr>
      </w:pPr>
    </w:p>
    <w:p w14:paraId="5496EB49">
      <w:pPr>
        <w:pStyle w:val="16"/>
        <w:spacing w:before="55" w:line="660" w:lineRule="exact"/>
        <w:ind w:right="379" w:firstLine="562" w:firstLineChars="200"/>
        <w:jc w:val="center"/>
        <w:rPr>
          <w:rFonts w:hint="eastAsia" w:ascii="宋体" w:hAnsi="Times New Roman" w:eastAsia="宋体" w:cs="Times New Roman"/>
          <w:b/>
          <w:bCs/>
          <w:sz w:val="28"/>
          <w:szCs w:val="28"/>
          <w:lang w:val="en-US" w:eastAsia="zh-CN" w:bidi="ar-SA"/>
        </w:rPr>
      </w:pPr>
      <w:r>
        <w:rPr>
          <w:rFonts w:hint="eastAsia"/>
          <w:b/>
          <w:bCs/>
          <w:sz w:val="28"/>
          <w:szCs w:val="28"/>
          <w:lang w:eastAsia="zh-CN"/>
        </w:rPr>
        <w:t xml:space="preserve">金花茶花化学成分HPLC 谱图 </w:t>
      </w:r>
    </w:p>
    <w:p w14:paraId="74B46A33">
      <w:pPr>
        <w:pStyle w:val="16"/>
        <w:spacing w:before="55" w:line="660" w:lineRule="exact"/>
        <w:ind w:right="379" w:firstLine="562" w:firstLineChars="200"/>
        <w:jc w:val="center"/>
        <w:rPr>
          <w:rFonts w:hint="eastAsia" w:ascii="宋体" w:hAnsi="Times New Roman" w:eastAsia="宋体" w:cs="Times New Roman"/>
          <w:b/>
          <w:bCs/>
          <w:sz w:val="28"/>
          <w:szCs w:val="28"/>
          <w:lang w:val="en-US" w:eastAsia="zh-CN" w:bidi="ar-SA"/>
        </w:rPr>
      </w:pPr>
      <w:r>
        <w:rPr>
          <w:rFonts w:hint="eastAsia" w:ascii="宋体" w:hAnsi="Times New Roman" w:eastAsia="宋体" w:cs="Times New Roman"/>
          <w:b/>
          <w:bCs/>
          <w:sz w:val="28"/>
          <w:szCs w:val="28"/>
          <w:lang w:val="en-US" w:eastAsia="zh-CN" w:bidi="ar-SA"/>
        </w:rPr>
        <w:t>金花茶活性成分含量检测结果</w:t>
      </w:r>
      <w:r>
        <w:rPr>
          <w:rFonts w:ascii="Times New Roman" w:hAnsi="Times New Roman"/>
        </w:rPr>
        <w:drawing>
          <wp:anchor distT="0" distB="0" distL="114300" distR="114300" simplePos="0" relativeHeight="251666432" behindDoc="0" locked="0" layoutInCell="1" allowOverlap="1">
            <wp:simplePos x="0" y="0"/>
            <wp:positionH relativeFrom="column">
              <wp:posOffset>161290</wp:posOffset>
            </wp:positionH>
            <wp:positionV relativeFrom="paragraph">
              <wp:posOffset>474980</wp:posOffset>
            </wp:positionV>
            <wp:extent cx="5760720" cy="3626485"/>
            <wp:effectExtent l="0" t="0" r="0" b="0"/>
            <wp:wrapTopAndBottom/>
            <wp:docPr id="11075088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508821" name="图片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760720" cy="3626485"/>
                    </a:xfrm>
                    <a:prstGeom prst="rect">
                      <a:avLst/>
                    </a:prstGeom>
                  </pic:spPr>
                </pic:pic>
              </a:graphicData>
            </a:graphic>
          </wp:anchor>
        </w:drawing>
      </w:r>
      <w:r>
        <w:rPr>
          <w:rFonts w:hint="eastAsia" w:ascii="宋体" w:hAnsi="Times New Roman" w:eastAsia="宋体" w:cs="Times New Roman"/>
          <w:b/>
          <w:bCs/>
          <w:sz w:val="28"/>
          <w:szCs w:val="28"/>
          <w:lang w:val="en-US" w:eastAsia="zh-CN" w:bidi="ar-SA"/>
        </w:rPr>
        <w:t xml:space="preserve">      </w:t>
      </w:r>
    </w:p>
    <w:p w14:paraId="753D3BDD">
      <w:pPr>
        <w:pStyle w:val="16"/>
        <w:spacing w:before="55" w:line="660" w:lineRule="exact"/>
        <w:ind w:right="379" w:firstLine="640" w:firstLineChars="200"/>
        <w:jc w:val="center"/>
        <w:rPr>
          <w:rFonts w:hint="eastAsia" w:ascii="Times New Roman"/>
          <w:color w:val="000000" w:themeColor="text1"/>
          <w:kern w:val="2"/>
          <w:sz w:val="32"/>
          <w:szCs w:val="32"/>
          <w:lang w:val="en-US" w:eastAsia="zh-CN"/>
          <w14:textFill>
            <w14:solidFill>
              <w14:schemeClr w14:val="tx1"/>
            </w14:solidFill>
          </w14:textFill>
        </w:rPr>
      </w:pPr>
      <w:r>
        <w:rPr>
          <w:rFonts w:hint="eastAsia" w:ascii="Times New Roman" w:eastAsia="仿宋"/>
          <w:color w:val="000000" w:themeColor="text1"/>
          <w:kern w:val="2"/>
          <w:sz w:val="32"/>
          <w:szCs w:val="32"/>
          <w14:textFill>
            <w14:solidFill>
              <w14:schemeClr w14:val="tx1"/>
            </w14:solidFill>
          </w14:textFill>
        </w:rPr>
        <w:t>总多酚、总黄酮、总多糖含量</w:t>
      </w:r>
      <w:r>
        <w:rPr>
          <w:rFonts w:hint="eastAsia" w:ascii="Times New Roman"/>
          <w:color w:val="000000" w:themeColor="text1"/>
          <w:kern w:val="2"/>
          <w:sz w:val="32"/>
          <w:szCs w:val="32"/>
          <w:lang w:eastAsia="zh-CN"/>
          <w14:textFill>
            <w14:solidFill>
              <w14:schemeClr w14:val="tx1"/>
            </w14:solidFill>
          </w14:textFill>
        </w:rPr>
        <w:t>等指标结</w:t>
      </w:r>
      <w:r>
        <w:rPr>
          <w:rFonts w:hint="eastAsia" w:ascii="Times New Roman" w:eastAsia="仿宋"/>
          <w:color w:val="000000" w:themeColor="text1"/>
          <w:kern w:val="2"/>
          <w:sz w:val="32"/>
          <w:szCs w:val="32"/>
          <w:lang w:eastAsia="zh-CN"/>
          <w14:textFill>
            <w14:solidFill>
              <w14:schemeClr w14:val="tx1"/>
            </w14:solidFill>
          </w14:textFill>
        </w:rPr>
        <w:t>合上图《</w:t>
      </w:r>
      <w:r>
        <w:rPr>
          <w:rFonts w:hint="eastAsia" w:ascii="Times New Roman" w:eastAsia="仿宋"/>
          <w:color w:val="000000" w:themeColor="text1"/>
          <w:kern w:val="2"/>
          <w:sz w:val="32"/>
          <w:szCs w:val="32"/>
          <w:lang w:val="en-US" w:eastAsia="zh-CN"/>
          <w14:textFill>
            <w14:solidFill>
              <w14:schemeClr w14:val="tx1"/>
            </w14:solidFill>
          </w14:textFill>
        </w:rPr>
        <w:t>金花茶活性成分含量检测结果</w:t>
      </w:r>
      <w:r>
        <w:rPr>
          <w:rFonts w:hint="eastAsia" w:ascii="Times New Roman" w:eastAsia="仿宋"/>
          <w:color w:val="000000" w:themeColor="text1"/>
          <w:kern w:val="2"/>
          <w:sz w:val="32"/>
          <w:szCs w:val="32"/>
          <w:lang w:eastAsia="zh-CN"/>
          <w14:textFill>
            <w14:solidFill>
              <w14:schemeClr w14:val="tx1"/>
            </w14:solidFill>
          </w14:textFill>
        </w:rPr>
        <w:t>》所示实验数据得来的，</w:t>
      </w:r>
      <w:r>
        <w:rPr>
          <w:rFonts w:hint="eastAsia" w:ascii="Times New Roman"/>
          <w:color w:val="000000" w:themeColor="text1"/>
          <w:kern w:val="2"/>
          <w:sz w:val="32"/>
          <w:szCs w:val="32"/>
          <w:lang w:val="en-US" w:eastAsia="zh-CN"/>
          <w14:textFill>
            <w14:solidFill>
              <w14:schemeClr w14:val="tx1"/>
            </w14:solidFill>
          </w14:textFill>
        </w:rPr>
        <w:t>7个批次的叶提取物总多酚为0.26-0.52%之</w:t>
      </w:r>
      <w:r>
        <w:rPr>
          <w:rFonts w:hint="eastAsia" w:ascii="Times New Roman" w:eastAsia="仿宋"/>
          <w:color w:val="000000" w:themeColor="text1"/>
          <w:kern w:val="2"/>
          <w:sz w:val="32"/>
          <w:szCs w:val="32"/>
          <w:lang w:val="en-US" w:eastAsia="zh-CN"/>
          <w14:textFill>
            <w14:solidFill>
              <w14:schemeClr w14:val="tx1"/>
            </w14:solidFill>
          </w14:textFill>
        </w:rPr>
        <w:t>间，</w:t>
      </w:r>
      <w:r>
        <w:rPr>
          <w:rFonts w:hint="eastAsia" w:ascii="Times New Roman"/>
          <w:color w:val="000000" w:themeColor="text1"/>
          <w:kern w:val="2"/>
          <w:sz w:val="32"/>
          <w:szCs w:val="32"/>
          <w:lang w:val="en-US" w:eastAsia="zh-CN"/>
          <w14:textFill>
            <w14:solidFill>
              <w14:schemeClr w14:val="tx1"/>
            </w14:solidFill>
          </w14:textFill>
        </w:rPr>
        <w:t>取其最低适量宽松</w:t>
      </w:r>
      <w:r>
        <w:rPr>
          <w:rFonts w:hint="eastAsia" w:ascii="Times New Roman" w:eastAsia="仿宋"/>
          <w:color w:val="000000" w:themeColor="text1"/>
          <w:kern w:val="2"/>
          <w:sz w:val="32"/>
          <w:szCs w:val="32"/>
          <w:lang w:val="en-US" w:eastAsia="zh-CN"/>
          <w14:textFill>
            <w14:solidFill>
              <w14:schemeClr w14:val="tx1"/>
            </w14:solidFill>
          </w14:textFill>
        </w:rPr>
        <w:t>规定为</w:t>
      </w:r>
      <w:r>
        <w:rPr>
          <w:rFonts w:hint="eastAsia" w:ascii="Times New Roman" w:eastAsia="仿宋"/>
          <w:color w:val="000000" w:themeColor="text1"/>
          <w:kern w:val="2"/>
          <w:sz w:val="32"/>
          <w:szCs w:val="32"/>
          <w:lang w:eastAsia="zh-CN"/>
          <w14:textFill>
            <w14:solidFill>
              <w14:schemeClr w14:val="tx1"/>
            </w14:solidFill>
          </w14:textFill>
        </w:rPr>
        <w:t>≥0.2</w:t>
      </w:r>
      <w:r>
        <w:rPr>
          <w:rFonts w:hint="eastAsia" w:ascii="Times New Roman" w:eastAsia="仿宋"/>
          <w:color w:val="000000" w:themeColor="text1"/>
          <w:kern w:val="2"/>
          <w:sz w:val="32"/>
          <w:szCs w:val="32"/>
          <w:lang w:val="en-US" w:eastAsia="zh-CN"/>
          <w14:textFill>
            <w14:solidFill>
              <w14:schemeClr w14:val="tx1"/>
            </w14:solidFill>
          </w14:textFill>
        </w:rPr>
        <w:t>5%；</w:t>
      </w:r>
      <w:r>
        <w:rPr>
          <w:rFonts w:hint="eastAsia" w:ascii="Times New Roman"/>
          <w:color w:val="000000" w:themeColor="text1"/>
          <w:kern w:val="2"/>
          <w:sz w:val="32"/>
          <w:szCs w:val="32"/>
          <w:lang w:val="en-US" w:eastAsia="zh-CN"/>
          <w14:textFill>
            <w14:solidFill>
              <w14:schemeClr w14:val="tx1"/>
            </w14:solidFill>
          </w14:textFill>
        </w:rPr>
        <w:t>7个批次的花提取物总多酚为0.61-1.65%之</w:t>
      </w:r>
      <w:r>
        <w:rPr>
          <w:rFonts w:hint="eastAsia" w:ascii="Times New Roman" w:eastAsia="仿宋"/>
          <w:color w:val="000000" w:themeColor="text1"/>
          <w:kern w:val="2"/>
          <w:sz w:val="32"/>
          <w:szCs w:val="32"/>
          <w:lang w:val="en-US" w:eastAsia="zh-CN"/>
          <w14:textFill>
            <w14:solidFill>
              <w14:schemeClr w14:val="tx1"/>
            </w14:solidFill>
          </w14:textFill>
        </w:rPr>
        <w:t>间，</w:t>
      </w:r>
      <w:r>
        <w:rPr>
          <w:rFonts w:hint="eastAsia" w:ascii="Times New Roman"/>
          <w:color w:val="000000" w:themeColor="text1"/>
          <w:kern w:val="2"/>
          <w:sz w:val="32"/>
          <w:szCs w:val="32"/>
          <w:lang w:val="en-US" w:eastAsia="zh-CN"/>
          <w14:textFill>
            <w14:solidFill>
              <w14:schemeClr w14:val="tx1"/>
            </w14:solidFill>
          </w14:textFill>
        </w:rPr>
        <w:t>取其最</w:t>
      </w:r>
    </w:p>
    <w:p w14:paraId="0E19C042">
      <w:pPr>
        <w:pStyle w:val="16"/>
        <w:spacing w:before="55" w:line="660" w:lineRule="exact"/>
        <w:ind w:right="379"/>
        <w:jc w:val="both"/>
        <w:rPr>
          <w:rFonts w:hint="eastAsia" w:ascii="Times New Roman"/>
          <w:color w:val="000000" w:themeColor="text1"/>
          <w:kern w:val="2"/>
          <w:sz w:val="32"/>
          <w:szCs w:val="32"/>
          <w:lang w:val="en-US" w:eastAsia="zh-CN"/>
          <w14:textFill>
            <w14:solidFill>
              <w14:schemeClr w14:val="tx1"/>
            </w14:solidFill>
          </w14:textFill>
        </w:rPr>
      </w:pPr>
      <w:bookmarkStart w:id="6" w:name="_GoBack"/>
      <w:bookmarkEnd w:id="6"/>
      <w:r>
        <w:rPr>
          <w:rFonts w:hint="eastAsia" w:ascii="Times New Roman"/>
          <w:color w:val="000000" w:themeColor="text1"/>
          <w:kern w:val="2"/>
          <w:sz w:val="32"/>
          <w:szCs w:val="32"/>
          <w:lang w:val="en-US" w:eastAsia="zh-CN"/>
          <w14:textFill>
            <w14:solidFill>
              <w14:schemeClr w14:val="tx1"/>
            </w14:solidFill>
          </w14:textFill>
        </w:rPr>
        <w:t>低适量宽松</w:t>
      </w:r>
      <w:r>
        <w:rPr>
          <w:rFonts w:hint="eastAsia" w:ascii="Times New Roman" w:eastAsia="仿宋"/>
          <w:color w:val="000000" w:themeColor="text1"/>
          <w:kern w:val="2"/>
          <w:sz w:val="32"/>
          <w:szCs w:val="32"/>
          <w:lang w:val="en-US" w:eastAsia="zh-CN"/>
          <w14:textFill>
            <w14:solidFill>
              <w14:schemeClr w14:val="tx1"/>
            </w14:solidFill>
          </w14:textFill>
        </w:rPr>
        <w:t>规定为</w:t>
      </w:r>
      <w:r>
        <w:rPr>
          <w:rFonts w:hint="eastAsia" w:ascii="Times New Roman" w:eastAsia="仿宋"/>
          <w:color w:val="000000" w:themeColor="text1"/>
          <w:kern w:val="2"/>
          <w:sz w:val="32"/>
          <w:szCs w:val="32"/>
          <w:lang w:eastAsia="zh-CN"/>
          <w14:textFill>
            <w14:solidFill>
              <w14:schemeClr w14:val="tx1"/>
            </w14:solidFill>
          </w14:textFill>
        </w:rPr>
        <w:t>≥0.</w:t>
      </w:r>
      <w:r>
        <w:rPr>
          <w:rFonts w:hint="eastAsia" w:ascii="Times New Roman" w:eastAsia="仿宋"/>
          <w:color w:val="000000" w:themeColor="text1"/>
          <w:kern w:val="2"/>
          <w:sz w:val="32"/>
          <w:szCs w:val="32"/>
          <w:lang w:val="en-US" w:eastAsia="zh-CN"/>
          <w14:textFill>
            <w14:solidFill>
              <w14:schemeClr w14:val="tx1"/>
            </w14:solidFill>
          </w14:textFill>
        </w:rPr>
        <w:t>5%；</w:t>
      </w:r>
      <w:r>
        <w:rPr>
          <w:rFonts w:hint="eastAsia" w:ascii="Times New Roman"/>
          <w:color w:val="000000" w:themeColor="text1"/>
          <w:kern w:val="2"/>
          <w:sz w:val="32"/>
          <w:szCs w:val="32"/>
          <w:lang w:val="en-US" w:eastAsia="zh-CN"/>
          <w14:textFill>
            <w14:solidFill>
              <w14:schemeClr w14:val="tx1"/>
            </w14:solidFill>
          </w14:textFill>
        </w:rPr>
        <w:t>7个批次的叶提取物</w:t>
      </w:r>
      <w:r>
        <w:rPr>
          <w:rFonts w:hint="eastAsia" w:ascii="Times New Roman" w:eastAsia="仿宋"/>
          <w:color w:val="000000" w:themeColor="text1"/>
          <w:kern w:val="2"/>
          <w:sz w:val="32"/>
          <w:szCs w:val="32"/>
          <w14:textFill>
            <w14:solidFill>
              <w14:schemeClr w14:val="tx1"/>
            </w14:solidFill>
          </w14:textFill>
        </w:rPr>
        <w:t>总黄酮</w:t>
      </w:r>
      <w:r>
        <w:rPr>
          <w:rFonts w:hint="eastAsia" w:ascii="Times New Roman"/>
          <w:color w:val="000000" w:themeColor="text1"/>
          <w:kern w:val="2"/>
          <w:sz w:val="32"/>
          <w:szCs w:val="32"/>
          <w:lang w:val="en-US" w:eastAsia="zh-CN"/>
          <w14:textFill>
            <w14:solidFill>
              <w14:schemeClr w14:val="tx1"/>
            </w14:solidFill>
          </w14:textFill>
        </w:rPr>
        <w:t>为3.5-9.35%之</w:t>
      </w:r>
      <w:r>
        <w:rPr>
          <w:rFonts w:hint="eastAsia" w:ascii="Times New Roman" w:eastAsia="仿宋"/>
          <w:color w:val="000000" w:themeColor="text1"/>
          <w:kern w:val="2"/>
          <w:sz w:val="32"/>
          <w:szCs w:val="32"/>
          <w:lang w:val="en-US" w:eastAsia="zh-CN"/>
          <w14:textFill>
            <w14:solidFill>
              <w14:schemeClr w14:val="tx1"/>
            </w14:solidFill>
          </w14:textFill>
        </w:rPr>
        <w:t>间，</w:t>
      </w:r>
      <w:r>
        <w:rPr>
          <w:rFonts w:hint="eastAsia" w:ascii="Times New Roman"/>
          <w:color w:val="000000" w:themeColor="text1"/>
          <w:kern w:val="2"/>
          <w:sz w:val="32"/>
          <w:szCs w:val="32"/>
          <w:lang w:val="en-US" w:eastAsia="zh-CN"/>
          <w14:textFill>
            <w14:solidFill>
              <w14:schemeClr w14:val="tx1"/>
            </w14:solidFill>
          </w14:textFill>
        </w:rPr>
        <w:t>取其最低适量宽松</w:t>
      </w:r>
      <w:r>
        <w:rPr>
          <w:rFonts w:hint="eastAsia" w:ascii="Times New Roman" w:eastAsia="仿宋"/>
          <w:color w:val="000000" w:themeColor="text1"/>
          <w:kern w:val="2"/>
          <w:sz w:val="32"/>
          <w:szCs w:val="32"/>
          <w:lang w:val="en-US" w:eastAsia="zh-CN"/>
          <w14:textFill>
            <w14:solidFill>
              <w14:schemeClr w14:val="tx1"/>
            </w14:solidFill>
          </w14:textFill>
        </w:rPr>
        <w:t>规定为</w:t>
      </w:r>
      <w:r>
        <w:rPr>
          <w:rFonts w:hint="eastAsia" w:ascii="Times New Roman" w:eastAsia="仿宋"/>
          <w:color w:val="000000" w:themeColor="text1"/>
          <w:kern w:val="2"/>
          <w:sz w:val="32"/>
          <w:szCs w:val="32"/>
          <w:lang w:eastAsia="zh-CN"/>
          <w14:textFill>
            <w14:solidFill>
              <w14:schemeClr w14:val="tx1"/>
            </w14:solidFill>
          </w14:textFill>
        </w:rPr>
        <w:t>≥</w:t>
      </w:r>
      <w:r>
        <w:rPr>
          <w:rFonts w:hint="eastAsia" w:ascii="Times New Roman"/>
          <w:color w:val="000000" w:themeColor="text1"/>
          <w:kern w:val="2"/>
          <w:sz w:val="32"/>
          <w:szCs w:val="32"/>
          <w:lang w:val="en-US" w:eastAsia="zh-CN"/>
          <w14:textFill>
            <w14:solidFill>
              <w14:schemeClr w14:val="tx1"/>
            </w14:solidFill>
          </w14:textFill>
        </w:rPr>
        <w:t>3.0</w:t>
      </w:r>
      <w:r>
        <w:rPr>
          <w:rFonts w:hint="eastAsia" w:ascii="Times New Roman" w:eastAsia="仿宋"/>
          <w:color w:val="000000" w:themeColor="text1"/>
          <w:kern w:val="2"/>
          <w:sz w:val="32"/>
          <w:szCs w:val="32"/>
          <w:lang w:val="en-US" w:eastAsia="zh-CN"/>
          <w14:textFill>
            <w14:solidFill>
              <w14:schemeClr w14:val="tx1"/>
            </w14:solidFill>
          </w14:textFill>
        </w:rPr>
        <w:t>%；</w:t>
      </w:r>
      <w:r>
        <w:rPr>
          <w:rFonts w:hint="eastAsia" w:ascii="Times New Roman"/>
          <w:color w:val="000000" w:themeColor="text1"/>
          <w:kern w:val="2"/>
          <w:sz w:val="32"/>
          <w:szCs w:val="32"/>
          <w:lang w:val="en-US" w:eastAsia="zh-CN"/>
          <w14:textFill>
            <w14:solidFill>
              <w14:schemeClr w14:val="tx1"/>
            </w14:solidFill>
          </w14:textFill>
        </w:rPr>
        <w:t>7个批次的花提取物</w:t>
      </w:r>
      <w:r>
        <w:rPr>
          <w:rFonts w:hint="eastAsia" w:ascii="Times New Roman" w:eastAsia="仿宋"/>
          <w:color w:val="000000" w:themeColor="text1"/>
          <w:kern w:val="2"/>
          <w:sz w:val="32"/>
          <w:szCs w:val="32"/>
          <w14:textFill>
            <w14:solidFill>
              <w14:schemeClr w14:val="tx1"/>
            </w14:solidFill>
          </w14:textFill>
        </w:rPr>
        <w:t>总黄酮</w:t>
      </w:r>
      <w:r>
        <w:rPr>
          <w:rFonts w:hint="eastAsia" w:ascii="Times New Roman"/>
          <w:color w:val="000000" w:themeColor="text1"/>
          <w:kern w:val="2"/>
          <w:sz w:val="32"/>
          <w:szCs w:val="32"/>
          <w:lang w:val="en-US" w:eastAsia="zh-CN"/>
          <w14:textFill>
            <w14:solidFill>
              <w14:schemeClr w14:val="tx1"/>
            </w14:solidFill>
          </w14:textFill>
        </w:rPr>
        <w:t>为5.61-11.21%之</w:t>
      </w:r>
      <w:r>
        <w:rPr>
          <w:rFonts w:hint="eastAsia" w:ascii="Times New Roman" w:eastAsia="仿宋"/>
          <w:color w:val="000000" w:themeColor="text1"/>
          <w:kern w:val="2"/>
          <w:sz w:val="32"/>
          <w:szCs w:val="32"/>
          <w:lang w:val="en-US" w:eastAsia="zh-CN"/>
          <w14:textFill>
            <w14:solidFill>
              <w14:schemeClr w14:val="tx1"/>
            </w14:solidFill>
          </w14:textFill>
        </w:rPr>
        <w:t>间，</w:t>
      </w:r>
      <w:r>
        <w:rPr>
          <w:rFonts w:hint="eastAsia" w:ascii="Times New Roman"/>
          <w:color w:val="000000" w:themeColor="text1"/>
          <w:kern w:val="2"/>
          <w:sz w:val="32"/>
          <w:szCs w:val="32"/>
          <w:lang w:val="en-US" w:eastAsia="zh-CN"/>
          <w14:textFill>
            <w14:solidFill>
              <w14:schemeClr w14:val="tx1"/>
            </w14:solidFill>
          </w14:textFill>
        </w:rPr>
        <w:t>取其最低适量宽松</w:t>
      </w:r>
      <w:r>
        <w:rPr>
          <w:rFonts w:hint="eastAsia" w:ascii="Times New Roman" w:eastAsia="仿宋"/>
          <w:color w:val="000000" w:themeColor="text1"/>
          <w:kern w:val="2"/>
          <w:sz w:val="32"/>
          <w:szCs w:val="32"/>
          <w:lang w:val="en-US" w:eastAsia="zh-CN"/>
          <w14:textFill>
            <w14:solidFill>
              <w14:schemeClr w14:val="tx1"/>
            </w14:solidFill>
          </w14:textFill>
        </w:rPr>
        <w:t>规定为</w:t>
      </w:r>
      <w:r>
        <w:rPr>
          <w:rFonts w:hint="eastAsia" w:ascii="Times New Roman" w:eastAsia="仿宋"/>
          <w:color w:val="000000" w:themeColor="text1"/>
          <w:kern w:val="2"/>
          <w:sz w:val="32"/>
          <w:szCs w:val="32"/>
          <w:lang w:eastAsia="zh-CN"/>
          <w14:textFill>
            <w14:solidFill>
              <w14:schemeClr w14:val="tx1"/>
            </w14:solidFill>
          </w14:textFill>
        </w:rPr>
        <w:t>≥</w:t>
      </w:r>
      <w:r>
        <w:rPr>
          <w:rFonts w:hint="eastAsia" w:ascii="Times New Roman"/>
          <w:color w:val="000000" w:themeColor="text1"/>
          <w:kern w:val="2"/>
          <w:sz w:val="32"/>
          <w:szCs w:val="32"/>
          <w:lang w:val="en-US" w:eastAsia="zh-CN"/>
          <w14:textFill>
            <w14:solidFill>
              <w14:schemeClr w14:val="tx1"/>
            </w14:solidFill>
          </w14:textFill>
        </w:rPr>
        <w:t>5.0</w:t>
      </w:r>
      <w:r>
        <w:rPr>
          <w:rFonts w:hint="eastAsia" w:ascii="Times New Roman" w:eastAsia="仿宋"/>
          <w:color w:val="000000" w:themeColor="text1"/>
          <w:kern w:val="2"/>
          <w:sz w:val="32"/>
          <w:szCs w:val="32"/>
          <w:lang w:val="en-US" w:eastAsia="zh-CN"/>
          <w14:textFill>
            <w14:solidFill>
              <w14:schemeClr w14:val="tx1"/>
            </w14:solidFill>
          </w14:textFill>
        </w:rPr>
        <w:t>%；</w:t>
      </w:r>
      <w:r>
        <w:rPr>
          <w:rFonts w:hint="eastAsia" w:ascii="Times New Roman"/>
          <w:color w:val="000000" w:themeColor="text1"/>
          <w:kern w:val="2"/>
          <w:sz w:val="32"/>
          <w:szCs w:val="32"/>
          <w:lang w:val="en-US" w:eastAsia="zh-CN"/>
          <w14:textFill>
            <w14:solidFill>
              <w14:schemeClr w14:val="tx1"/>
            </w14:solidFill>
          </w14:textFill>
        </w:rPr>
        <w:t>7个批次的叶提取物</w:t>
      </w:r>
      <w:r>
        <w:rPr>
          <w:rFonts w:hint="eastAsia" w:ascii="Times New Roman" w:eastAsia="仿宋"/>
          <w:color w:val="000000" w:themeColor="text1"/>
          <w:kern w:val="2"/>
          <w:sz w:val="32"/>
          <w:szCs w:val="32"/>
          <w14:textFill>
            <w14:solidFill>
              <w14:schemeClr w14:val="tx1"/>
            </w14:solidFill>
          </w14:textFill>
        </w:rPr>
        <w:t>总多糖</w:t>
      </w:r>
      <w:r>
        <w:rPr>
          <w:rFonts w:hint="eastAsia" w:ascii="Times New Roman"/>
          <w:color w:val="000000" w:themeColor="text1"/>
          <w:kern w:val="2"/>
          <w:sz w:val="32"/>
          <w:szCs w:val="32"/>
          <w:lang w:val="en-US" w:eastAsia="zh-CN"/>
          <w14:textFill>
            <w14:solidFill>
              <w14:schemeClr w14:val="tx1"/>
            </w14:solidFill>
          </w14:textFill>
        </w:rPr>
        <w:t>为0.18-0.56%之</w:t>
      </w:r>
      <w:r>
        <w:rPr>
          <w:rFonts w:hint="eastAsia" w:ascii="Times New Roman" w:eastAsia="仿宋"/>
          <w:color w:val="000000" w:themeColor="text1"/>
          <w:kern w:val="2"/>
          <w:sz w:val="32"/>
          <w:szCs w:val="32"/>
          <w:lang w:val="en-US" w:eastAsia="zh-CN"/>
          <w14:textFill>
            <w14:solidFill>
              <w14:schemeClr w14:val="tx1"/>
            </w14:solidFill>
          </w14:textFill>
        </w:rPr>
        <w:t>间，</w:t>
      </w:r>
      <w:r>
        <w:rPr>
          <w:rFonts w:hint="eastAsia" w:ascii="Times New Roman"/>
          <w:color w:val="000000" w:themeColor="text1"/>
          <w:kern w:val="2"/>
          <w:sz w:val="32"/>
          <w:szCs w:val="32"/>
          <w:lang w:val="en-US" w:eastAsia="zh-CN"/>
          <w14:textFill>
            <w14:solidFill>
              <w14:schemeClr w14:val="tx1"/>
            </w14:solidFill>
          </w14:textFill>
        </w:rPr>
        <w:t>取其最低适量宽松</w:t>
      </w:r>
      <w:r>
        <w:rPr>
          <w:rFonts w:hint="eastAsia" w:ascii="Times New Roman" w:eastAsia="仿宋"/>
          <w:color w:val="000000" w:themeColor="text1"/>
          <w:kern w:val="2"/>
          <w:sz w:val="32"/>
          <w:szCs w:val="32"/>
          <w:lang w:val="en-US" w:eastAsia="zh-CN"/>
          <w14:textFill>
            <w14:solidFill>
              <w14:schemeClr w14:val="tx1"/>
            </w14:solidFill>
          </w14:textFill>
        </w:rPr>
        <w:t>规定为</w:t>
      </w:r>
      <w:r>
        <w:rPr>
          <w:rFonts w:hint="eastAsia" w:ascii="Times New Roman" w:eastAsia="仿宋"/>
          <w:color w:val="000000" w:themeColor="text1"/>
          <w:kern w:val="2"/>
          <w:sz w:val="32"/>
          <w:szCs w:val="32"/>
          <w:lang w:eastAsia="zh-CN"/>
          <w14:textFill>
            <w14:solidFill>
              <w14:schemeClr w14:val="tx1"/>
            </w14:solidFill>
          </w14:textFill>
        </w:rPr>
        <w:t>≥</w:t>
      </w:r>
      <w:r>
        <w:rPr>
          <w:rFonts w:hint="eastAsia" w:ascii="Times New Roman"/>
          <w:color w:val="000000" w:themeColor="text1"/>
          <w:kern w:val="2"/>
          <w:sz w:val="32"/>
          <w:szCs w:val="32"/>
          <w:lang w:val="en-US" w:eastAsia="zh-CN"/>
          <w14:textFill>
            <w14:solidFill>
              <w14:schemeClr w14:val="tx1"/>
            </w14:solidFill>
          </w14:textFill>
        </w:rPr>
        <w:t>0.15</w:t>
      </w:r>
      <w:r>
        <w:rPr>
          <w:rFonts w:hint="eastAsia" w:ascii="Times New Roman" w:eastAsia="仿宋"/>
          <w:color w:val="000000" w:themeColor="text1"/>
          <w:kern w:val="2"/>
          <w:sz w:val="32"/>
          <w:szCs w:val="32"/>
          <w:lang w:val="en-US" w:eastAsia="zh-CN"/>
          <w14:textFill>
            <w14:solidFill>
              <w14:schemeClr w14:val="tx1"/>
            </w14:solidFill>
          </w14:textFill>
        </w:rPr>
        <w:t>%；</w:t>
      </w:r>
      <w:r>
        <w:rPr>
          <w:rFonts w:hint="eastAsia" w:ascii="Times New Roman"/>
          <w:color w:val="000000" w:themeColor="text1"/>
          <w:kern w:val="2"/>
          <w:sz w:val="32"/>
          <w:szCs w:val="32"/>
          <w:lang w:val="en-US" w:eastAsia="zh-CN"/>
          <w14:textFill>
            <w14:solidFill>
              <w14:schemeClr w14:val="tx1"/>
            </w14:solidFill>
          </w14:textFill>
        </w:rPr>
        <w:t>7个批次的花提取物</w:t>
      </w:r>
      <w:r>
        <w:rPr>
          <w:rFonts w:hint="eastAsia" w:ascii="Times New Roman" w:eastAsia="仿宋"/>
          <w:color w:val="000000" w:themeColor="text1"/>
          <w:kern w:val="2"/>
          <w:sz w:val="32"/>
          <w:szCs w:val="32"/>
          <w14:textFill>
            <w14:solidFill>
              <w14:schemeClr w14:val="tx1"/>
            </w14:solidFill>
          </w14:textFill>
        </w:rPr>
        <w:t>总多糖</w:t>
      </w:r>
      <w:r>
        <w:rPr>
          <w:rFonts w:hint="eastAsia" w:ascii="Times New Roman"/>
          <w:color w:val="000000" w:themeColor="text1"/>
          <w:kern w:val="2"/>
          <w:sz w:val="32"/>
          <w:szCs w:val="32"/>
          <w:lang w:val="en-US" w:eastAsia="zh-CN"/>
          <w14:textFill>
            <w14:solidFill>
              <w14:schemeClr w14:val="tx1"/>
            </w14:solidFill>
          </w14:textFill>
        </w:rPr>
        <w:t>为0.36-1.15%之</w:t>
      </w:r>
      <w:r>
        <w:rPr>
          <w:rFonts w:hint="eastAsia" w:ascii="Times New Roman" w:eastAsia="仿宋"/>
          <w:color w:val="000000" w:themeColor="text1"/>
          <w:kern w:val="2"/>
          <w:sz w:val="32"/>
          <w:szCs w:val="32"/>
          <w:lang w:val="en-US" w:eastAsia="zh-CN"/>
          <w14:textFill>
            <w14:solidFill>
              <w14:schemeClr w14:val="tx1"/>
            </w14:solidFill>
          </w14:textFill>
        </w:rPr>
        <w:t>间，</w:t>
      </w:r>
      <w:r>
        <w:rPr>
          <w:rFonts w:hint="eastAsia" w:ascii="Times New Roman"/>
          <w:color w:val="000000" w:themeColor="text1"/>
          <w:kern w:val="2"/>
          <w:sz w:val="32"/>
          <w:szCs w:val="32"/>
          <w:lang w:val="en-US" w:eastAsia="zh-CN"/>
          <w14:textFill>
            <w14:solidFill>
              <w14:schemeClr w14:val="tx1"/>
            </w14:solidFill>
          </w14:textFill>
        </w:rPr>
        <w:t>取其最低适量宽松</w:t>
      </w:r>
      <w:r>
        <w:rPr>
          <w:rFonts w:hint="eastAsia" w:ascii="Times New Roman" w:eastAsia="仿宋"/>
          <w:color w:val="000000" w:themeColor="text1"/>
          <w:kern w:val="2"/>
          <w:sz w:val="32"/>
          <w:szCs w:val="32"/>
          <w:lang w:val="en-US" w:eastAsia="zh-CN"/>
          <w14:textFill>
            <w14:solidFill>
              <w14:schemeClr w14:val="tx1"/>
            </w14:solidFill>
          </w14:textFill>
        </w:rPr>
        <w:t>规定为</w:t>
      </w:r>
      <w:r>
        <w:rPr>
          <w:rFonts w:hint="eastAsia" w:ascii="Times New Roman" w:eastAsia="仿宋"/>
          <w:color w:val="000000" w:themeColor="text1"/>
          <w:kern w:val="2"/>
          <w:sz w:val="32"/>
          <w:szCs w:val="32"/>
          <w:lang w:eastAsia="zh-CN"/>
          <w14:textFill>
            <w14:solidFill>
              <w14:schemeClr w14:val="tx1"/>
            </w14:solidFill>
          </w14:textFill>
        </w:rPr>
        <w:t>≥</w:t>
      </w:r>
      <w:r>
        <w:rPr>
          <w:rFonts w:hint="eastAsia" w:ascii="Times New Roman"/>
          <w:color w:val="000000" w:themeColor="text1"/>
          <w:kern w:val="2"/>
          <w:sz w:val="32"/>
          <w:szCs w:val="32"/>
          <w:lang w:val="en-US" w:eastAsia="zh-CN"/>
          <w14:textFill>
            <w14:solidFill>
              <w14:schemeClr w14:val="tx1"/>
            </w14:solidFill>
          </w14:textFill>
        </w:rPr>
        <w:t>0.30</w:t>
      </w:r>
      <w:r>
        <w:rPr>
          <w:rFonts w:hint="eastAsia" w:ascii="Times New Roman" w:eastAsia="仿宋"/>
          <w:color w:val="000000" w:themeColor="text1"/>
          <w:kern w:val="2"/>
          <w:sz w:val="32"/>
          <w:szCs w:val="32"/>
          <w:lang w:val="en-US" w:eastAsia="zh-CN"/>
          <w14:textFill>
            <w14:solidFill>
              <w14:schemeClr w14:val="tx1"/>
            </w14:solidFill>
          </w14:textFill>
        </w:rPr>
        <w:t>%</w:t>
      </w:r>
      <w:r>
        <w:rPr>
          <w:rFonts w:hint="eastAsia" w:ascii="Times New Roman"/>
          <w:color w:val="000000" w:themeColor="text1"/>
          <w:kern w:val="2"/>
          <w:sz w:val="32"/>
          <w:szCs w:val="32"/>
          <w:lang w:val="en-US" w:eastAsia="zh-CN"/>
          <w14:textFill>
            <w14:solidFill>
              <w14:schemeClr w14:val="tx1"/>
            </w14:solidFill>
          </w14:textFill>
        </w:rPr>
        <w:t>。</w:t>
      </w:r>
    </w:p>
    <w:p w14:paraId="66768F5C">
      <w:pPr>
        <w:pStyle w:val="16"/>
        <w:spacing w:before="55" w:line="660" w:lineRule="exact"/>
        <w:ind w:right="379" w:firstLine="640" w:firstLineChars="200"/>
        <w:jc w:val="center"/>
        <w:rPr>
          <w:rFonts w:hint="eastAsia" w:cs="Times New Roman"/>
          <w:color w:val="auto"/>
          <w:kern w:val="2"/>
          <w:sz w:val="32"/>
          <w:szCs w:val="32"/>
          <w:lang w:val="en-US" w:eastAsia="zh-CN" w:bidi="en-US"/>
        </w:rPr>
      </w:pPr>
      <w:r>
        <w:rPr>
          <w:rFonts w:hint="eastAsia" w:ascii="Times New Roman" w:eastAsia="仿宋"/>
          <w:color w:val="000000" w:themeColor="text1"/>
          <w:kern w:val="2"/>
          <w:sz w:val="32"/>
          <w:szCs w:val="32"/>
          <w:lang w:val="en-US" w:eastAsia="zh-CN"/>
          <w14:textFill>
            <w14:solidFill>
              <w14:schemeClr w14:val="tx1"/>
            </w14:solidFill>
          </w14:textFill>
        </w:rPr>
        <w:t>不同批次</w:t>
      </w:r>
      <w:r>
        <w:rPr>
          <w:rFonts w:hint="eastAsia" w:cs="Times New Roman"/>
          <w:color w:val="auto"/>
          <w:kern w:val="2"/>
          <w:sz w:val="32"/>
          <w:szCs w:val="32"/>
          <w:lang w:val="en-US" w:eastAsia="zh-CN" w:bidi="en-US"/>
        </w:rPr>
        <w:t>的检测样品总多酚含量变化较大，原因是不同产地、不同采收期或不同成熟度的金花茶叶或花提取物样品的多酚含量不同导致。不同批次的检测样品总黄酮含量有较大差距，原因是不同产地、不同采收期或不同成熟度的金花茶叶或花来源样品的多酚含量变化较大所致。不同批次的检测样品总多糖含量变化较大，原因是不同产地、不同采收期或不同成熟度的</w:t>
      </w:r>
    </w:p>
    <w:p w14:paraId="16BD12B0">
      <w:pPr>
        <w:pStyle w:val="16"/>
        <w:spacing w:before="55" w:line="660" w:lineRule="exact"/>
        <w:ind w:right="379"/>
        <w:jc w:val="both"/>
        <w:rPr>
          <w:rFonts w:hint="default" w:ascii="Times New Roman" w:hAnsi="Times New Roman"/>
          <w:lang w:val="en-US"/>
        </w:rPr>
      </w:pPr>
      <w:r>
        <w:rPr>
          <w:rFonts w:hint="eastAsia" w:cs="Times New Roman"/>
          <w:color w:val="auto"/>
          <w:kern w:val="2"/>
          <w:sz w:val="32"/>
          <w:szCs w:val="32"/>
          <w:lang w:val="en-US" w:eastAsia="zh-CN" w:bidi="en-US"/>
        </w:rPr>
        <w:t xml:space="preserve">金花茶叶或花提取物样品的多糖含量不同造成。     </w:t>
      </w:r>
      <w:r>
        <w:rPr>
          <w:rFonts w:hint="eastAsia" w:ascii="宋体" w:hAnsi="Times New Roman" w:eastAsia="宋体" w:cs="Times New Roman"/>
          <w:b/>
          <w:bCs/>
          <w:sz w:val="28"/>
          <w:szCs w:val="28"/>
          <w:lang w:val="en-US" w:eastAsia="zh-CN" w:bidi="ar-SA"/>
        </w:rPr>
        <w:t xml:space="preserve">                          </w:t>
      </w:r>
    </w:p>
    <w:p w14:paraId="6E829ED6">
      <w:pPr>
        <w:pStyle w:val="16"/>
        <w:numPr>
          <w:ilvl w:val="0"/>
          <w:numId w:val="12"/>
        </w:numPr>
        <w:spacing w:before="55" w:line="660" w:lineRule="exact"/>
        <w:ind w:right="379" w:firstLine="643" w:firstLineChars="200"/>
        <w:rPr>
          <w:rFonts w:ascii="Times New Roman" w:hAnsi="Times New Roman"/>
          <w:b/>
          <w:bCs/>
          <w:lang w:val="zh-CN"/>
        </w:rPr>
      </w:pPr>
      <w:r>
        <w:rPr>
          <w:rFonts w:hint="eastAsia" w:ascii="Times New Roman" w:hAnsi="Times New Roman"/>
          <w:b/>
          <w:bCs/>
        </w:rPr>
        <w:t>禁用农药残留量</w:t>
      </w:r>
    </w:p>
    <w:p w14:paraId="24145AB9">
      <w:pPr>
        <w:pStyle w:val="16"/>
        <w:spacing w:before="55" w:line="660" w:lineRule="exact"/>
        <w:ind w:right="379" w:firstLine="640" w:firstLineChars="200"/>
        <w:rPr>
          <w:rFonts w:ascii="Times New Roman" w:hAnsi="Times New Roman"/>
          <w:b/>
          <w:lang w:val="zh-CN"/>
        </w:rPr>
      </w:pPr>
      <w:r>
        <w:rPr>
          <w:rFonts w:ascii="Times New Roman" w:hAnsi="Times New Roman"/>
        </w:rPr>
        <w:t>禁用农药残留量检测项目为 GB/T 39665中列出的含植物提取物类化妆品中55种禁用农药，要求为不得检出</w:t>
      </w:r>
      <w:r>
        <w:rPr>
          <w:rFonts w:hint="eastAsia" w:ascii="Times New Roman" w:hAnsi="Times New Roman"/>
        </w:rPr>
        <w:t>。</w:t>
      </w:r>
    </w:p>
    <w:p w14:paraId="3BE94319">
      <w:pPr>
        <w:spacing w:line="660" w:lineRule="exact"/>
        <w:ind w:firstLine="643" w:firstLineChars="200"/>
        <w:rPr>
          <w:rFonts w:ascii="Times New Roman" w:hAnsi="Times New Roman"/>
          <w:b/>
        </w:rPr>
      </w:pPr>
      <w:r>
        <w:rPr>
          <w:rFonts w:hint="eastAsia" w:ascii="Times New Roman" w:hAnsi="Times New Roman"/>
          <w:b/>
          <w:lang w:val="zh-CN"/>
        </w:rPr>
        <w:t>（三）</w:t>
      </w:r>
      <w:r>
        <w:rPr>
          <w:rFonts w:hint="eastAsia" w:ascii="Times New Roman" w:hAnsi="Times New Roman"/>
          <w:b/>
        </w:rPr>
        <w:t>检测方法</w:t>
      </w:r>
    </w:p>
    <w:p w14:paraId="7EBFF264">
      <w:pPr>
        <w:spacing w:line="660" w:lineRule="exact"/>
        <w:ind w:firstLine="640" w:firstLineChars="200"/>
        <w:rPr>
          <w:rFonts w:ascii="Times New Roman" w:hAnsi="Times New Roman"/>
          <w:color w:val="auto"/>
          <w:lang w:bidi="en-US"/>
        </w:rPr>
      </w:pPr>
      <w:r>
        <w:rPr>
          <w:rFonts w:hint="eastAsia" w:ascii="Times New Roman" w:hAnsi="Times New Roman"/>
          <w:color w:val="auto"/>
          <w:lang w:bidi="en-US"/>
        </w:rPr>
        <w:t>1、外观、气味按照常规方法检测。</w:t>
      </w:r>
    </w:p>
    <w:p w14:paraId="6DEB86D9">
      <w:pPr>
        <w:keepNext w:val="0"/>
        <w:keepLines w:val="0"/>
        <w:pageBreakBefore w:val="0"/>
        <w:kinsoku/>
        <w:wordWrap/>
        <w:overflowPunct/>
        <w:topLinePunct w:val="0"/>
        <w:bidi w:val="0"/>
        <w:adjustRightInd/>
        <w:snapToGrid/>
        <w:spacing w:line="660" w:lineRule="exact"/>
        <w:ind w:firstLine="640" w:firstLineChars="200"/>
        <w:textAlignment w:val="auto"/>
        <w:rPr>
          <w:rFonts w:hint="eastAsia" w:cs="Times New Roman"/>
          <w:color w:val="auto"/>
          <w:kern w:val="2"/>
          <w:sz w:val="32"/>
          <w:szCs w:val="32"/>
          <w:lang w:val="en-US" w:eastAsia="zh-CN" w:bidi="en-US"/>
        </w:rPr>
      </w:pPr>
      <w:r>
        <w:rPr>
          <w:rFonts w:hint="eastAsia" w:cs="Times New Roman"/>
          <w:color w:val="auto"/>
          <w:kern w:val="2"/>
          <w:sz w:val="32"/>
          <w:szCs w:val="32"/>
          <w:lang w:val="en-US" w:eastAsia="zh-CN" w:bidi="en-US"/>
        </w:rPr>
        <w:t>2、总多酚含量参照《GB/T 8313-2018 茶叶中茶多酚和儿茶素类含量的检测方法》（Folin-Ciocalteu法）测定。</w:t>
      </w:r>
    </w:p>
    <w:p w14:paraId="200A573C">
      <w:pPr>
        <w:keepNext w:val="0"/>
        <w:keepLines w:val="0"/>
        <w:pageBreakBefore w:val="0"/>
        <w:kinsoku/>
        <w:wordWrap/>
        <w:overflowPunct/>
        <w:topLinePunct w:val="0"/>
        <w:bidi w:val="0"/>
        <w:adjustRightInd/>
        <w:snapToGrid/>
        <w:spacing w:line="660" w:lineRule="exact"/>
        <w:ind w:firstLine="640" w:firstLineChars="200"/>
        <w:textAlignment w:val="auto"/>
        <w:rPr>
          <w:rFonts w:hint="eastAsia" w:cs="Times New Roman"/>
          <w:color w:val="auto"/>
          <w:kern w:val="2"/>
          <w:sz w:val="32"/>
          <w:szCs w:val="32"/>
          <w:lang w:val="en-US" w:eastAsia="zh-CN" w:bidi="en-US"/>
        </w:rPr>
      </w:pPr>
      <w:r>
        <w:rPr>
          <w:rFonts w:hint="eastAsia" w:cs="Times New Roman"/>
          <w:color w:val="auto"/>
          <w:kern w:val="2"/>
          <w:sz w:val="32"/>
          <w:szCs w:val="32"/>
          <w:lang w:val="en-US" w:eastAsia="zh-CN" w:bidi="en-US"/>
        </w:rPr>
        <w:t>3、总黄酮含量</w:t>
      </w:r>
      <w:bookmarkStart w:id="4" w:name="_Hlk197418913"/>
      <w:r>
        <w:rPr>
          <w:rFonts w:hint="eastAsia" w:cs="Times New Roman"/>
          <w:color w:val="auto"/>
          <w:kern w:val="2"/>
          <w:sz w:val="32"/>
          <w:szCs w:val="32"/>
          <w:lang w:val="en-US" w:eastAsia="zh-CN" w:bidi="en-US"/>
        </w:rPr>
        <w:t>参照《SN/T 4592-2016 出口食品中总黄酮的测定》测定</w:t>
      </w:r>
      <w:bookmarkEnd w:id="4"/>
      <w:r>
        <w:rPr>
          <w:rFonts w:hint="eastAsia" w:cs="Times New Roman"/>
          <w:color w:val="auto"/>
          <w:kern w:val="2"/>
          <w:sz w:val="32"/>
          <w:szCs w:val="32"/>
          <w:lang w:val="en-US" w:eastAsia="zh-CN" w:bidi="en-US"/>
        </w:rPr>
        <w:t xml:space="preserve">。            </w:t>
      </w:r>
    </w:p>
    <w:p w14:paraId="46AB3D38">
      <w:pPr>
        <w:keepNext w:val="0"/>
        <w:keepLines w:val="0"/>
        <w:pageBreakBefore w:val="0"/>
        <w:kinsoku/>
        <w:wordWrap/>
        <w:overflowPunct/>
        <w:topLinePunct w:val="0"/>
        <w:bidi w:val="0"/>
        <w:adjustRightInd/>
        <w:snapToGrid/>
        <w:spacing w:line="660" w:lineRule="exact"/>
        <w:ind w:firstLine="640" w:firstLineChars="200"/>
        <w:textAlignment w:val="auto"/>
        <w:rPr>
          <w:rFonts w:hint="eastAsia" w:ascii="仿宋" w:hAnsi="仿宋" w:eastAsia="仿宋" w:cs="Times New Roman"/>
          <w:color w:val="FF0000"/>
          <w:kern w:val="2"/>
          <w:sz w:val="32"/>
          <w:szCs w:val="32"/>
          <w:lang w:val="en-US" w:eastAsia="zh-CN" w:bidi="en-US"/>
        </w:rPr>
      </w:pPr>
      <w:r>
        <w:rPr>
          <w:rFonts w:hint="eastAsia" w:cs="Times New Roman"/>
          <w:color w:val="auto"/>
          <w:kern w:val="2"/>
          <w:sz w:val="32"/>
          <w:szCs w:val="32"/>
          <w:lang w:val="en-US" w:eastAsia="zh-CN" w:bidi="en-US"/>
        </w:rPr>
        <w:t>4、总多糖含量</w:t>
      </w:r>
      <w:bookmarkStart w:id="5" w:name="_Hlk197418929"/>
      <w:r>
        <w:rPr>
          <w:rFonts w:hint="eastAsia" w:cs="Times New Roman"/>
          <w:color w:val="auto"/>
          <w:kern w:val="2"/>
          <w:sz w:val="32"/>
          <w:szCs w:val="32"/>
          <w:lang w:val="en-US" w:eastAsia="zh-CN" w:bidi="en-US"/>
        </w:rPr>
        <w:t>参照《SN/T 4260-2015 出口植物源食品中粗多糖的测定 苯酚-硫酸法》</w:t>
      </w:r>
      <w:bookmarkEnd w:id="5"/>
    </w:p>
    <w:p w14:paraId="31114F70">
      <w:pPr>
        <w:spacing w:line="660" w:lineRule="exact"/>
        <w:ind w:firstLine="640" w:firstLineChars="200"/>
        <w:rPr>
          <w:rFonts w:ascii="Times New Roman" w:hAnsi="Times New Roman"/>
          <w:color w:val="auto"/>
          <w:lang w:bidi="en-US"/>
        </w:rPr>
      </w:pPr>
      <w:r>
        <w:rPr>
          <w:rFonts w:hint="eastAsia" w:ascii="Times New Roman" w:hAnsi="Times New Roman"/>
          <w:color w:val="auto"/>
          <w:lang w:bidi="en-US"/>
        </w:rPr>
        <w:t>5、微生物指标、重金属指标、甲醇残留</w:t>
      </w:r>
      <w:r>
        <w:rPr>
          <w:rFonts w:hint="eastAsia" w:ascii="Times New Roman" w:hAnsi="Times New Roman"/>
        </w:rPr>
        <w:t>按《化妆品安全技术规范》中规定的方法测定。</w:t>
      </w:r>
    </w:p>
    <w:p w14:paraId="002152AF">
      <w:pPr>
        <w:pStyle w:val="175"/>
        <w:ind w:firstLine="640"/>
        <w:rPr>
          <w:rFonts w:ascii="Times New Roman"/>
        </w:rPr>
      </w:pPr>
      <w:r>
        <w:rPr>
          <w:rFonts w:hint="eastAsia" w:ascii="Times New Roman"/>
          <w:kern w:val="2"/>
          <w:sz w:val="32"/>
          <w:szCs w:val="32"/>
          <w:lang w:bidi="en-US"/>
        </w:rPr>
        <w:t>6、</w:t>
      </w:r>
      <w:r>
        <w:rPr>
          <w:rFonts w:hint="eastAsia" w:ascii="Times New Roman" w:eastAsia="仿宋"/>
          <w:kern w:val="2"/>
          <w:sz w:val="32"/>
          <w:szCs w:val="32"/>
          <w:lang w:bidi="en-US"/>
        </w:rPr>
        <w:t>禁用农药残留量按GB/T 39665中规定的方法测定。</w:t>
      </w:r>
    </w:p>
    <w:p w14:paraId="196DB2A2">
      <w:pPr>
        <w:numPr>
          <w:ilvl w:val="0"/>
          <w:numId w:val="0"/>
        </w:numPr>
        <w:spacing w:line="660" w:lineRule="exact"/>
        <w:ind w:firstLine="321" w:firstLineChars="100"/>
        <w:rPr>
          <w:rFonts w:ascii="Times New Roman" w:hAnsi="Times New Roman"/>
          <w:b/>
        </w:rPr>
      </w:pPr>
      <w:r>
        <w:rPr>
          <w:rFonts w:hint="eastAsia" w:ascii="Times New Roman" w:hAnsi="Times New Roman"/>
          <w:b/>
          <w:lang w:eastAsia="zh-CN"/>
        </w:rPr>
        <w:t>（四）</w:t>
      </w:r>
      <w:r>
        <w:rPr>
          <w:rFonts w:hint="eastAsia" w:ascii="Times New Roman" w:hAnsi="Times New Roman"/>
          <w:b/>
        </w:rPr>
        <w:t>检验规则</w:t>
      </w:r>
    </w:p>
    <w:p w14:paraId="206AA707">
      <w:pPr>
        <w:spacing w:line="660" w:lineRule="exact"/>
        <w:ind w:firstLine="640" w:firstLineChars="200"/>
        <w:rPr>
          <w:rFonts w:ascii="Times New Roman" w:hAnsi="Times New Roman"/>
          <w:b/>
        </w:rPr>
      </w:pPr>
      <w:r>
        <w:rPr>
          <w:rFonts w:hint="eastAsia" w:ascii="Times New Roman" w:hAnsi="Times New Roman"/>
          <w:color w:val="auto"/>
          <w:lang w:bidi="en-US"/>
        </w:rPr>
        <w:t>检验分类、抽样、判定规则等</w:t>
      </w:r>
      <w:r>
        <w:rPr>
          <w:rFonts w:hint="eastAsia" w:ascii="Times New Roman" w:hAnsi="Times New Roman"/>
          <w:color w:val="000000" w:themeColor="text1"/>
          <w14:textFill>
            <w14:solidFill>
              <w14:schemeClr w14:val="tx1"/>
            </w14:solidFill>
          </w14:textFill>
        </w:rPr>
        <w:t>主要参考</w:t>
      </w:r>
      <w:r>
        <w:rPr>
          <w:rFonts w:hint="eastAsia" w:ascii="Times New Roman" w:hAnsi="Times New Roman"/>
        </w:rPr>
        <w:t>《GB/T 33306-2016 化妆品用原料 D-泛醇》、《QB/T 4951-2016 化妆品用原料 光果甘草（Glycyrrhiza glabra）根提取物》中有关规定。</w:t>
      </w:r>
    </w:p>
    <w:p w14:paraId="369685E6">
      <w:pPr>
        <w:numPr>
          <w:ilvl w:val="0"/>
          <w:numId w:val="13"/>
        </w:numPr>
        <w:spacing w:line="660" w:lineRule="exact"/>
        <w:ind w:firstLine="643"/>
        <w:rPr>
          <w:rFonts w:ascii="Times New Roman" w:hAnsi="Times New Roman"/>
          <w:b/>
          <w:lang w:val="zh-CN"/>
        </w:rPr>
      </w:pPr>
      <w:r>
        <w:rPr>
          <w:rFonts w:hint="eastAsia" w:ascii="Times New Roman" w:hAnsi="Times New Roman"/>
          <w:b/>
        </w:rPr>
        <w:t>标志、包装、运输、贮存和保质期</w:t>
      </w:r>
    </w:p>
    <w:p w14:paraId="479BAA1C">
      <w:pPr>
        <w:spacing w:line="660" w:lineRule="exact"/>
        <w:ind w:left="643"/>
        <w:rPr>
          <w:rFonts w:ascii="Times New Roman" w:hAnsi="Times New Roman"/>
        </w:rPr>
      </w:pPr>
      <w:r>
        <w:rPr>
          <w:rFonts w:hint="eastAsia" w:ascii="Times New Roman" w:hAnsi="Times New Roman"/>
          <w:color w:val="000000" w:themeColor="text1"/>
          <w14:textFill>
            <w14:solidFill>
              <w14:schemeClr w14:val="tx1"/>
            </w14:solidFill>
          </w14:textFill>
        </w:rPr>
        <w:t>主要参考</w:t>
      </w:r>
      <w:r>
        <w:rPr>
          <w:rFonts w:hint="eastAsia" w:ascii="Times New Roman" w:hAnsi="Times New Roman"/>
        </w:rPr>
        <w:t xml:space="preserve">《GB/T 33306-2016 化妆品用原料 D-泛醇》、《QB/T </w:t>
      </w:r>
    </w:p>
    <w:p w14:paraId="39D9E10B">
      <w:pPr>
        <w:spacing w:line="660" w:lineRule="exact"/>
        <w:rPr>
          <w:rFonts w:ascii="Times New Roman" w:hAnsi="Times New Roman"/>
          <w:b/>
        </w:rPr>
      </w:pPr>
      <w:r>
        <w:rPr>
          <w:rFonts w:hint="eastAsia" w:ascii="Times New Roman" w:hAnsi="Times New Roman"/>
        </w:rPr>
        <w:t>4951-2016 化妆品用原料 光果甘草（Glycyrrhiza glabra）根提取物》中有关规定。</w:t>
      </w:r>
    </w:p>
    <w:p w14:paraId="769B39E9">
      <w:pPr>
        <w:spacing w:line="660" w:lineRule="exact"/>
        <w:ind w:firstLine="643"/>
        <w:rPr>
          <w:rFonts w:ascii="Times New Roman" w:hAnsi="Times New Roman"/>
          <w:b/>
        </w:rPr>
      </w:pPr>
      <w:r>
        <w:rPr>
          <w:rFonts w:hint="eastAsia" w:ascii="Times New Roman" w:hAnsi="Times New Roman"/>
          <w:b/>
        </w:rPr>
        <w:t>六</w:t>
      </w:r>
      <w:r>
        <w:rPr>
          <w:rFonts w:ascii="Times New Roman" w:hAnsi="Times New Roman"/>
          <w:b/>
        </w:rPr>
        <w:t>、重大分歧意见的处理经过和依据</w:t>
      </w:r>
    </w:p>
    <w:p w14:paraId="3C099475">
      <w:pPr>
        <w:pStyle w:val="52"/>
        <w:numPr>
          <w:ilvl w:val="2"/>
          <w:numId w:val="0"/>
        </w:numPr>
        <w:spacing w:before="156" w:after="156" w:line="660" w:lineRule="exact"/>
        <w:ind w:firstLine="640" w:firstLineChars="200"/>
        <w:rPr>
          <w:rFonts w:ascii="Times New Roman" w:eastAsia="仿宋"/>
          <w:kern w:val="2"/>
          <w:sz w:val="32"/>
          <w:szCs w:val="32"/>
          <w:lang w:val="zh-CN" w:bidi="en-US"/>
        </w:rPr>
      </w:pPr>
      <w:r>
        <w:rPr>
          <w:rFonts w:hint="eastAsia" w:ascii="Times New Roman" w:eastAsia="仿宋"/>
          <w:kern w:val="2"/>
          <w:sz w:val="32"/>
          <w:szCs w:val="32"/>
          <w:lang w:val="zh-CN" w:bidi="en-US"/>
        </w:rPr>
        <w:t>本标准研制过程中无重大分歧意见。</w:t>
      </w:r>
    </w:p>
    <w:p w14:paraId="56912D3C">
      <w:pPr>
        <w:pStyle w:val="47"/>
        <w:spacing w:line="660" w:lineRule="exact"/>
        <w:ind w:firstLine="643"/>
        <w:rPr>
          <w:rFonts w:ascii="Times New Roman" w:eastAsia="仿宋"/>
          <w:b/>
          <w:color w:val="000000"/>
          <w:kern w:val="2"/>
          <w:sz w:val="32"/>
          <w:szCs w:val="32"/>
        </w:rPr>
      </w:pPr>
      <w:r>
        <w:rPr>
          <w:rFonts w:hint="eastAsia" w:ascii="Times New Roman" w:eastAsia="仿宋"/>
          <w:b/>
          <w:color w:val="000000"/>
          <w:kern w:val="2"/>
          <w:sz w:val="32"/>
          <w:szCs w:val="32"/>
        </w:rPr>
        <w:t>七、实施标准的措施</w:t>
      </w:r>
    </w:p>
    <w:p w14:paraId="1A8143BF">
      <w:pPr>
        <w:pStyle w:val="47"/>
        <w:spacing w:line="660" w:lineRule="exact"/>
        <w:ind w:firstLine="643"/>
        <w:rPr>
          <w:rFonts w:ascii="Times New Roman" w:eastAsia="仿宋"/>
          <w:b/>
          <w:kern w:val="2"/>
          <w:sz w:val="32"/>
          <w:szCs w:val="32"/>
          <w:lang w:val="zh-CN" w:bidi="en-US"/>
        </w:rPr>
      </w:pPr>
      <w:r>
        <w:rPr>
          <w:rFonts w:hint="eastAsia" w:ascii="Times New Roman" w:eastAsia="仿宋"/>
          <w:b/>
          <w:kern w:val="2"/>
          <w:sz w:val="32"/>
          <w:szCs w:val="32"/>
          <w:lang w:val="zh-CN" w:bidi="en-US"/>
        </w:rPr>
        <w:t>（一）标准报批发布后，成立标准宣贯工作组</w:t>
      </w:r>
    </w:p>
    <w:p w14:paraId="6C10ADE8">
      <w:pPr>
        <w:pStyle w:val="47"/>
        <w:spacing w:line="660" w:lineRule="exact"/>
        <w:ind w:firstLine="640"/>
        <w:rPr>
          <w:rFonts w:ascii="Times New Roman" w:eastAsia="仿宋"/>
          <w:kern w:val="2"/>
          <w:sz w:val="32"/>
          <w:szCs w:val="32"/>
          <w:lang w:val="zh-CN" w:bidi="en-US"/>
        </w:rPr>
      </w:pPr>
      <w:r>
        <w:rPr>
          <w:rFonts w:hint="eastAsia" w:ascii="Times New Roman" w:eastAsia="仿宋"/>
          <w:kern w:val="2"/>
          <w:sz w:val="32"/>
          <w:szCs w:val="32"/>
          <w:lang w:val="zh-CN" w:bidi="en-US"/>
        </w:rPr>
        <w:t>本标准正式发布实施后，为确保标准得到有效贯彻和执行，将专门成立标准宣贯工作组。该工作组由主要起草人担任核心成员，全面负责标准宣贯实施的各项具体工作。工作组的主要职责包括：制定详细的标准培训计划，组织开展多层次的培训活动；策划并实施标准交流会议，促进标准使用单位之间的经验分享；建立标准实施信息反馈机制，定期收集各方的实施情况和意见建议；组织开展标准实施效果评估工作，科学评价标准实施成效。同时，工作组还将根据收集到的标准实施反馈信息和评估结果，及时组织标准的复审和修订工作，确保标准内容与时俱进，持续满足实际需求。通过这一系列系统化的工作安排，切实保障标准的有效实施和持续完善。</w:t>
      </w:r>
    </w:p>
    <w:p w14:paraId="56EC8DF9">
      <w:pPr>
        <w:pStyle w:val="47"/>
        <w:spacing w:line="660" w:lineRule="exact"/>
        <w:ind w:firstLine="643"/>
        <w:rPr>
          <w:rFonts w:ascii="Times New Roman" w:eastAsia="仿宋"/>
          <w:b/>
          <w:kern w:val="2"/>
          <w:sz w:val="32"/>
          <w:szCs w:val="32"/>
          <w:lang w:val="zh-CN" w:bidi="en-US"/>
        </w:rPr>
      </w:pPr>
      <w:r>
        <w:rPr>
          <w:rFonts w:hint="eastAsia" w:ascii="Times New Roman" w:eastAsia="仿宋"/>
          <w:b/>
          <w:kern w:val="2"/>
          <w:sz w:val="32"/>
          <w:szCs w:val="32"/>
          <w:lang w:val="zh-CN" w:bidi="en-US"/>
        </w:rPr>
        <w:t>（二）组织开展标准宣贯培训</w:t>
      </w:r>
    </w:p>
    <w:p w14:paraId="4C0F6A7D">
      <w:pPr>
        <w:pStyle w:val="47"/>
        <w:spacing w:line="660" w:lineRule="exact"/>
        <w:ind w:firstLine="640"/>
        <w:rPr>
          <w:rFonts w:ascii="Times New Roman" w:eastAsia="仿宋"/>
          <w:kern w:val="2"/>
          <w:sz w:val="32"/>
          <w:szCs w:val="32"/>
          <w:lang w:val="zh-CN" w:bidi="en-US"/>
        </w:rPr>
      </w:pPr>
      <w:r>
        <w:rPr>
          <w:rFonts w:hint="eastAsia" w:ascii="Times New Roman" w:eastAsia="仿宋"/>
          <w:kern w:val="2"/>
          <w:sz w:val="32"/>
          <w:szCs w:val="32"/>
          <w:lang w:val="zh-CN" w:bidi="en-US"/>
        </w:rPr>
        <w:t>在标准正式发布并开始实施后，为确保标准内容得到准确理解和有效执行，标准宣贯工作小组精心策划并开展了全方位的宣贯工作。首先，工作小组组织专业人员深入研究标准内容，制作详尽的标准解读宣贯培训PPT课件，该课件不仅包含标准的整体框架和核心要点，还针对重点难点内容进行了深入浅出的解析。</w:t>
      </w:r>
    </w:p>
    <w:p w14:paraId="06751FDF">
      <w:pPr>
        <w:pStyle w:val="47"/>
        <w:spacing w:line="660" w:lineRule="exact"/>
        <w:ind w:firstLine="640"/>
        <w:rPr>
          <w:rFonts w:ascii="Times New Roman" w:eastAsia="仿宋"/>
          <w:kern w:val="2"/>
          <w:sz w:val="32"/>
          <w:szCs w:val="32"/>
          <w:lang w:val="zh-CN" w:bidi="en-US"/>
        </w:rPr>
      </w:pPr>
      <w:r>
        <w:rPr>
          <w:rFonts w:hint="eastAsia" w:ascii="Times New Roman" w:eastAsia="仿宋"/>
          <w:kern w:val="2"/>
          <w:sz w:val="32"/>
          <w:szCs w:val="32"/>
          <w:lang w:val="zh-CN" w:bidi="en-US"/>
        </w:rPr>
        <w:t>在此基础上，工作小组严格按照预先制定的标准宣贯培训计划，有序组织对标准采用企业（机构）的培训工作，通过案例分析、互动讨论等多种形式，帮助参训人员深入理解标准的技术要求和实施要点。</w:t>
      </w:r>
    </w:p>
    <w:p w14:paraId="5654550C">
      <w:pPr>
        <w:pStyle w:val="47"/>
        <w:spacing w:line="660" w:lineRule="exact"/>
        <w:ind w:firstLine="643"/>
        <w:rPr>
          <w:rFonts w:ascii="Times New Roman" w:eastAsia="仿宋"/>
          <w:b/>
          <w:kern w:val="2"/>
          <w:sz w:val="32"/>
          <w:szCs w:val="32"/>
          <w:lang w:val="zh-CN" w:bidi="en-US"/>
        </w:rPr>
      </w:pPr>
      <w:r>
        <w:rPr>
          <w:rFonts w:hint="eastAsia" w:ascii="Times New Roman" w:eastAsia="仿宋"/>
          <w:b/>
          <w:kern w:val="2"/>
          <w:sz w:val="32"/>
          <w:szCs w:val="32"/>
          <w:lang w:val="zh-CN" w:bidi="en-US"/>
        </w:rPr>
        <w:t>（三）开展标准实施交流会，收集标准实施反馈信息</w:t>
      </w:r>
    </w:p>
    <w:p w14:paraId="7C4F9F8C">
      <w:pPr>
        <w:pStyle w:val="47"/>
        <w:spacing w:line="660" w:lineRule="exact"/>
        <w:ind w:firstLine="640"/>
        <w:rPr>
          <w:rFonts w:ascii="Times New Roman" w:eastAsia="仿宋"/>
          <w:kern w:val="2"/>
          <w:sz w:val="32"/>
          <w:szCs w:val="32"/>
          <w:lang w:val="zh-CN" w:bidi="en-US"/>
        </w:rPr>
      </w:pPr>
      <w:r>
        <w:rPr>
          <w:rFonts w:hint="eastAsia" w:ascii="Times New Roman" w:eastAsia="仿宋"/>
          <w:kern w:val="2"/>
          <w:sz w:val="32"/>
          <w:szCs w:val="32"/>
          <w:lang w:val="zh-CN" w:bidi="en-US"/>
        </w:rPr>
        <w:t>标准起草小组高度重视标准实施过程中的实际应用情况，专门组织人员深入走访了多家标准采用企业和相关机构，通过召开标准实施交流座谈会的形式，与一线工作人员进行面对面的深入沟通，认真听取了各企业在执行标准过程中遇到的具体问题和实际困难，包括标准条款理解上的困惑、操作执行中的技术难点以及与其他标准体系的衔接问题等。对于需要进一步研究论证的复杂问题，将组织相关领域的权威专家团队进行专题研讨和论证分析。为后续标准的复审和修订完善积累第一手资料，为提升标准的适用性和可操作性奠定坚实基础。</w:t>
      </w:r>
    </w:p>
    <w:p w14:paraId="15A8B72C">
      <w:pPr>
        <w:pStyle w:val="47"/>
        <w:spacing w:line="660" w:lineRule="exact"/>
        <w:ind w:firstLine="643"/>
        <w:rPr>
          <w:rFonts w:ascii="Times New Roman" w:eastAsia="仿宋"/>
          <w:b/>
          <w:kern w:val="2"/>
          <w:sz w:val="32"/>
          <w:szCs w:val="32"/>
          <w:lang w:val="zh-CN" w:bidi="en-US"/>
        </w:rPr>
      </w:pPr>
      <w:r>
        <w:rPr>
          <w:rFonts w:hint="eastAsia" w:ascii="Times New Roman" w:eastAsia="仿宋"/>
          <w:b/>
          <w:kern w:val="2"/>
          <w:sz w:val="32"/>
          <w:szCs w:val="32"/>
          <w:lang w:val="zh-CN" w:bidi="en-US"/>
        </w:rPr>
        <w:t>（四）开展标准实施效果评估</w:t>
      </w:r>
    </w:p>
    <w:p w14:paraId="0487C976">
      <w:pPr>
        <w:pStyle w:val="47"/>
        <w:spacing w:line="660" w:lineRule="exact"/>
        <w:ind w:firstLine="640"/>
        <w:rPr>
          <w:rFonts w:ascii="Times New Roman" w:eastAsia="仿宋"/>
          <w:kern w:val="2"/>
          <w:sz w:val="32"/>
          <w:szCs w:val="32"/>
          <w:lang w:val="zh-CN" w:bidi="en-US"/>
        </w:rPr>
      </w:pPr>
      <w:r>
        <w:rPr>
          <w:rFonts w:hint="eastAsia" w:ascii="Times New Roman" w:eastAsia="仿宋"/>
          <w:kern w:val="2"/>
          <w:sz w:val="32"/>
          <w:szCs w:val="32"/>
          <w:lang w:val="zh-CN" w:bidi="en-US"/>
        </w:rPr>
        <w:t>标准实施周期达到两年后，为确保标准的适用性和有效性，标准宣贯工作组将建立系统化的评估机制。每年通过多种渠道和方式开展标准实施效果评估工作：一方面利用现代信息技术手段，包括网络问卷调查、线上调研等数字化方式收集反馈；另一方面采取传统调研方法，如实地走访考察、组织专题座谈会或专家论证会等。同时，工作组还会邀请相关领域的权威专家进行专业咨询和评估。在全面收集各方意见和数据的基础上，工作组将对这些信息进行系统分析、科学论证，最终形成详实、客观的标准实施效果评估报告。这份报告将为后续的标准复审工作提供重要依据，并为标准的修订完善奠定坚实基础。</w:t>
      </w:r>
    </w:p>
    <w:p w14:paraId="6848695D">
      <w:pPr>
        <w:pStyle w:val="47"/>
        <w:spacing w:line="660" w:lineRule="exact"/>
        <w:ind w:firstLine="643"/>
        <w:rPr>
          <w:rFonts w:ascii="Times New Roman" w:eastAsia="仿宋"/>
          <w:b/>
          <w:color w:val="000000"/>
          <w:kern w:val="2"/>
          <w:sz w:val="32"/>
          <w:szCs w:val="32"/>
        </w:rPr>
      </w:pPr>
      <w:r>
        <w:rPr>
          <w:rFonts w:hint="eastAsia" w:ascii="Times New Roman" w:eastAsia="仿宋"/>
          <w:b/>
          <w:color w:val="000000"/>
          <w:kern w:val="2"/>
          <w:sz w:val="32"/>
          <w:szCs w:val="32"/>
        </w:rPr>
        <w:t>八、其他应当说明的事项</w:t>
      </w:r>
    </w:p>
    <w:p w14:paraId="3CFF0926">
      <w:pPr>
        <w:pStyle w:val="47"/>
        <w:spacing w:line="660" w:lineRule="exact"/>
        <w:ind w:firstLine="640"/>
        <w:rPr>
          <w:rFonts w:ascii="Times New Roman" w:eastAsia="仿宋"/>
          <w:kern w:val="2"/>
          <w:sz w:val="32"/>
          <w:szCs w:val="32"/>
          <w:lang w:val="zh-CN" w:bidi="en-US"/>
        </w:rPr>
      </w:pPr>
      <w:r>
        <w:rPr>
          <w:rFonts w:hint="eastAsia" w:ascii="Times New Roman" w:eastAsia="仿宋"/>
          <w:kern w:val="2"/>
          <w:sz w:val="32"/>
          <w:szCs w:val="32"/>
          <w:lang w:val="zh-CN" w:bidi="en-US"/>
        </w:rPr>
        <w:t>无。</w:t>
      </w:r>
    </w:p>
    <w:p w14:paraId="1F0ED405">
      <w:pPr>
        <w:spacing w:line="660" w:lineRule="exact"/>
        <w:ind w:firstLine="643"/>
        <w:rPr>
          <w:rFonts w:ascii="Times New Roman" w:hAnsi="Times New Roman"/>
          <w:b/>
        </w:rPr>
      </w:pPr>
      <w:r>
        <w:rPr>
          <w:rFonts w:hint="eastAsia" w:ascii="Times New Roman" w:hAnsi="Times New Roman"/>
          <w:b/>
        </w:rPr>
        <w:t>九、自我承诺</w:t>
      </w:r>
    </w:p>
    <w:p w14:paraId="16E875CC">
      <w:pPr>
        <w:pStyle w:val="52"/>
        <w:numPr>
          <w:ilvl w:val="2"/>
          <w:numId w:val="0"/>
        </w:numPr>
        <w:spacing w:before="0" w:beforeLines="0" w:after="0" w:afterLines="0" w:line="660" w:lineRule="exact"/>
        <w:ind w:firstLine="640" w:firstLineChars="200"/>
        <w:jc w:val="both"/>
        <w:rPr>
          <w:rFonts w:ascii="Times New Roman" w:eastAsia="仿宋"/>
          <w:kern w:val="2"/>
          <w:sz w:val="32"/>
          <w:szCs w:val="32"/>
          <w:lang w:bidi="en-US"/>
        </w:rPr>
      </w:pPr>
      <w:r>
        <w:rPr>
          <w:rFonts w:ascii="Times New Roman" w:eastAsia="仿宋"/>
          <w:kern w:val="2"/>
          <w:sz w:val="32"/>
          <w:szCs w:val="32"/>
          <w:lang w:bidi="en-US"/>
        </w:rPr>
        <w:t>本标准内容与各项指标不低于强制性标准</w:t>
      </w:r>
      <w:r>
        <w:rPr>
          <w:rFonts w:hint="eastAsia" w:ascii="Times New Roman" w:eastAsia="仿宋"/>
          <w:kern w:val="2"/>
          <w:sz w:val="32"/>
          <w:szCs w:val="32"/>
          <w:lang w:bidi="en-US"/>
        </w:rPr>
        <w:t>要求</w:t>
      </w:r>
      <w:r>
        <w:rPr>
          <w:rFonts w:ascii="Times New Roman" w:eastAsia="仿宋"/>
          <w:kern w:val="2"/>
          <w:sz w:val="32"/>
          <w:szCs w:val="32"/>
          <w:lang w:bidi="en-US"/>
        </w:rPr>
        <w:t>。</w:t>
      </w:r>
    </w:p>
    <w:p w14:paraId="6EFBCC80">
      <w:pPr>
        <w:pStyle w:val="52"/>
        <w:numPr>
          <w:ilvl w:val="2"/>
          <w:numId w:val="0"/>
        </w:numPr>
        <w:spacing w:before="0" w:beforeLines="0" w:after="0" w:afterLines="0"/>
        <w:jc w:val="both"/>
        <w:rPr>
          <w:rFonts w:ascii="Times New Roman" w:eastAsia="仿宋"/>
          <w:kern w:val="2"/>
          <w:sz w:val="32"/>
          <w:szCs w:val="32"/>
          <w:lang w:bidi="en-US"/>
        </w:rPr>
      </w:pPr>
    </w:p>
    <w:tbl>
      <w:tblPr>
        <w:tblStyle w:val="3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62"/>
      </w:tblGrid>
      <w:tr w14:paraId="6E6EE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62" w:type="dxa"/>
          </w:tcPr>
          <w:p w14:paraId="4CE14FF2">
            <w:pPr>
              <w:pStyle w:val="52"/>
              <w:numPr>
                <w:ilvl w:val="2"/>
                <w:numId w:val="0"/>
              </w:numPr>
              <w:spacing w:before="0" w:beforeLines="0" w:after="0" w:afterLines="0"/>
              <w:ind w:firstLine="640" w:firstLineChars="200"/>
              <w:jc w:val="right"/>
              <w:rPr>
                <w:rFonts w:ascii="Times New Roman" w:eastAsia="仿宋"/>
                <w:kern w:val="2"/>
                <w:sz w:val="32"/>
                <w:szCs w:val="32"/>
                <w:lang w:bidi="en-US"/>
              </w:rPr>
            </w:pPr>
          </w:p>
          <w:p w14:paraId="7AC4E415">
            <w:pPr>
              <w:pStyle w:val="52"/>
              <w:numPr>
                <w:ilvl w:val="2"/>
                <w:numId w:val="0"/>
              </w:numPr>
              <w:spacing w:before="0" w:beforeLines="0" w:after="0" w:afterLines="0"/>
              <w:ind w:firstLine="640" w:firstLineChars="200"/>
              <w:jc w:val="right"/>
              <w:rPr>
                <w:rFonts w:ascii="Times New Roman" w:eastAsia="仿宋"/>
                <w:kern w:val="2"/>
                <w:sz w:val="32"/>
                <w:szCs w:val="32"/>
                <w:lang w:bidi="en-US"/>
              </w:rPr>
            </w:pPr>
            <w:r>
              <w:rPr>
                <w:rFonts w:hint="eastAsia" w:ascii="Times New Roman" w:eastAsia="仿宋"/>
                <w:kern w:val="2"/>
                <w:sz w:val="32"/>
                <w:szCs w:val="32"/>
                <w:lang w:bidi="en-US"/>
              </w:rPr>
              <w:t>团体标准《化妆品用原料 金花茶提取物》</w:t>
            </w:r>
          </w:p>
        </w:tc>
      </w:tr>
      <w:tr w14:paraId="6D17EB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62" w:type="dxa"/>
          </w:tcPr>
          <w:p w14:paraId="3070A934">
            <w:pPr>
              <w:pStyle w:val="52"/>
              <w:numPr>
                <w:ilvl w:val="2"/>
                <w:numId w:val="0"/>
              </w:numPr>
              <w:spacing w:before="0" w:beforeLines="0" w:after="0" w:afterLines="0"/>
              <w:ind w:right="1920" w:firstLine="640" w:firstLineChars="200"/>
              <w:jc w:val="right"/>
              <w:rPr>
                <w:rFonts w:ascii="Times New Roman" w:eastAsia="仿宋"/>
                <w:kern w:val="2"/>
                <w:sz w:val="32"/>
                <w:szCs w:val="32"/>
                <w:lang w:bidi="en-US"/>
              </w:rPr>
            </w:pPr>
            <w:r>
              <w:rPr>
                <w:rFonts w:hint="eastAsia" w:ascii="Times New Roman" w:eastAsia="仿宋"/>
                <w:kern w:val="2"/>
                <w:sz w:val="32"/>
                <w:szCs w:val="32"/>
                <w:lang w:bidi="en-US"/>
              </w:rPr>
              <w:t>标准</w:t>
            </w:r>
            <w:r>
              <w:rPr>
                <w:rFonts w:ascii="Times New Roman" w:eastAsia="仿宋"/>
                <w:kern w:val="2"/>
                <w:sz w:val="32"/>
                <w:szCs w:val="32"/>
                <w:lang w:bidi="en-US"/>
              </w:rPr>
              <w:t>编制小组</w:t>
            </w:r>
          </w:p>
        </w:tc>
      </w:tr>
      <w:tr w14:paraId="02AC6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62" w:type="dxa"/>
          </w:tcPr>
          <w:p w14:paraId="49BC5056">
            <w:pPr>
              <w:pStyle w:val="52"/>
              <w:numPr>
                <w:ilvl w:val="2"/>
                <w:numId w:val="0"/>
              </w:numPr>
              <w:spacing w:before="0" w:beforeLines="0" w:after="0" w:afterLines="0"/>
              <w:ind w:right="1600" w:firstLine="640" w:firstLineChars="200"/>
              <w:jc w:val="right"/>
              <w:rPr>
                <w:rFonts w:ascii="Times New Roman" w:eastAsia="仿宋_GB2312"/>
                <w:kern w:val="2"/>
                <w:sz w:val="32"/>
                <w:szCs w:val="32"/>
                <w:lang w:bidi="en-US"/>
              </w:rPr>
            </w:pPr>
            <w:r>
              <w:rPr>
                <w:rFonts w:hint="eastAsia" w:ascii="Times New Roman" w:eastAsia="仿宋_GB2312"/>
                <w:kern w:val="2"/>
                <w:sz w:val="32"/>
                <w:szCs w:val="32"/>
                <w:lang w:bidi="en-US"/>
              </w:rPr>
              <w:t>2025年</w:t>
            </w:r>
            <w:r>
              <w:rPr>
                <w:rFonts w:hint="eastAsia" w:ascii="Times New Roman" w:eastAsia="仿宋_GB2312"/>
                <w:kern w:val="2"/>
                <w:sz w:val="32"/>
                <w:szCs w:val="32"/>
                <w:lang w:val="en-US" w:eastAsia="zh-CN" w:bidi="en-US"/>
              </w:rPr>
              <w:t>8</w:t>
            </w:r>
            <w:r>
              <w:rPr>
                <w:rFonts w:hint="eastAsia" w:ascii="Times New Roman" w:eastAsia="仿宋_GB2312"/>
                <w:kern w:val="2"/>
                <w:sz w:val="32"/>
                <w:szCs w:val="32"/>
                <w:lang w:bidi="en-US"/>
              </w:rPr>
              <w:t>月</w:t>
            </w:r>
            <w:r>
              <w:rPr>
                <w:rFonts w:hint="eastAsia" w:ascii="Times New Roman" w:eastAsia="仿宋_GB2312"/>
                <w:kern w:val="2"/>
                <w:sz w:val="32"/>
                <w:szCs w:val="32"/>
                <w:lang w:val="en-US" w:eastAsia="zh-CN" w:bidi="en-US"/>
              </w:rPr>
              <w:t>8</w:t>
            </w:r>
            <w:r>
              <w:rPr>
                <w:rFonts w:hint="eastAsia" w:ascii="Times New Roman" w:eastAsia="仿宋_GB2312"/>
                <w:kern w:val="2"/>
                <w:sz w:val="32"/>
                <w:szCs w:val="32"/>
                <w:lang w:bidi="en-US"/>
              </w:rPr>
              <w:t>日</w:t>
            </w:r>
          </w:p>
          <w:p w14:paraId="5862CB95">
            <w:pPr>
              <w:pStyle w:val="47"/>
              <w:ind w:firstLine="640"/>
              <w:rPr>
                <w:rFonts w:ascii="Times New Roman" w:eastAsia="仿宋_GB2312"/>
                <w:kern w:val="2"/>
                <w:sz w:val="32"/>
                <w:szCs w:val="32"/>
                <w:lang w:bidi="en-US"/>
              </w:rPr>
            </w:pPr>
          </w:p>
          <w:p w14:paraId="6128F2E3">
            <w:pPr>
              <w:pStyle w:val="47"/>
              <w:ind w:firstLine="640"/>
              <w:rPr>
                <w:rFonts w:ascii="Times New Roman" w:eastAsia="仿宋_GB2312"/>
                <w:kern w:val="2"/>
                <w:sz w:val="32"/>
                <w:szCs w:val="32"/>
                <w:lang w:bidi="en-US"/>
              </w:rPr>
            </w:pPr>
          </w:p>
          <w:p w14:paraId="7AFACD8C">
            <w:pPr>
              <w:pStyle w:val="47"/>
              <w:ind w:firstLine="640"/>
              <w:rPr>
                <w:rFonts w:ascii="Times New Roman" w:eastAsia="仿宋_GB2312"/>
                <w:kern w:val="2"/>
                <w:sz w:val="32"/>
                <w:szCs w:val="32"/>
                <w:lang w:bidi="en-US"/>
              </w:rPr>
            </w:pPr>
          </w:p>
        </w:tc>
      </w:tr>
    </w:tbl>
    <w:p w14:paraId="2A105C77">
      <w:pPr>
        <w:pStyle w:val="47"/>
        <w:ind w:firstLine="0" w:firstLineChars="0"/>
        <w:rPr>
          <w:rFonts w:ascii="Times New Roman"/>
          <w:lang w:bidi="en-US"/>
        </w:rPr>
      </w:pPr>
    </w:p>
    <w:sectPr>
      <w:footerReference r:id="rId3" w:type="default"/>
      <w:pgSz w:w="11906" w:h="16838"/>
      <w:pgMar w:top="1474" w:right="1417" w:bottom="1474" w:left="141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Verdana">
    <w:panose1 w:val="020B0604030504040204"/>
    <w:charset w:val="00"/>
    <w:family w:val="swiss"/>
    <w:pitch w:val="default"/>
    <w:sig w:usb0="A1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新宋体">
    <w:panose1 w:val="02010609030101010101"/>
    <w:charset w:val="86"/>
    <w:family w:val="modern"/>
    <w:pitch w:val="default"/>
    <w:sig w:usb0="00000003" w:usb1="288F0000" w:usb2="00000006" w:usb3="00000000" w:csb0="00040001" w:csb1="00000000"/>
  </w:font>
  <w:font w:name="方正仿宋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Arial Unicode MS">
    <w:panose1 w:val="020B0604020202020204"/>
    <w:charset w:val="86"/>
    <w:family w:val="swiss"/>
    <w:pitch w:val="default"/>
    <w:sig w:usb0="FFFFFFFF" w:usb1="E9FFFFFF" w:usb2="0000003F" w:usb3="00000000" w:csb0="603F01FF" w:csb1="FFFF0000"/>
  </w:font>
  <w:font w:name="E-BZ+ZMDH1D-1">
    <w:altName w:val="宋体"/>
    <w:panose1 w:val="00000000000000000000"/>
    <w:charset w:val="86"/>
    <w:family w:val="auto"/>
    <w:pitch w:val="default"/>
    <w:sig w:usb0="00000000" w:usb1="00000000" w:usb2="00000010" w:usb3="00000000" w:csb0="00040000" w:csb1="00000000"/>
  </w:font>
  <w:font w:name="FZSSK--GBK1-00+ZMDH1D-3">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altName w:val="Arial Unicode MS"/>
    <w:panose1 w:val="02010600030101010101"/>
    <w:charset w:val="86"/>
    <w:family w:val="auto"/>
    <w:pitch w:val="default"/>
    <w:sig w:usb0="00000000" w:usb1="00000000"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13310252"/>
    </w:sdtPr>
    <w:sdtContent>
      <w:p w14:paraId="13F0A234">
        <w:pPr>
          <w:pStyle w:val="24"/>
          <w:jc w:val="center"/>
          <w:rPr>
            <w:rFonts w:hint="eastAsia"/>
          </w:rPr>
        </w:pPr>
        <w:r>
          <w:fldChar w:fldCharType="begin"/>
        </w:r>
        <w:r>
          <w:instrText xml:space="preserve">PAGE   \* MERGEFORMAT</w:instrText>
        </w:r>
        <w:r>
          <w:fldChar w:fldCharType="separate"/>
        </w:r>
        <w:r>
          <w:rPr>
            <w:lang w:val="zh-CN"/>
          </w:rPr>
          <w:t>16</w:t>
        </w:r>
        <w:r>
          <w:fldChar w:fldCharType="end"/>
        </w:r>
      </w:p>
    </w:sdtContent>
  </w:sdt>
  <w:p w14:paraId="118B51B4">
    <w:pPr>
      <w:pStyle w:val="24"/>
      <w:rPr>
        <w:rFonts w:hint="eastAsia"/>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1CF7645"/>
    <w:multiLevelType w:val="singleLevel"/>
    <w:tmpl w:val="A1CF7645"/>
    <w:lvl w:ilvl="0" w:tentative="0">
      <w:start w:val="1"/>
      <w:numFmt w:val="chineseCounting"/>
      <w:suff w:val="nothing"/>
      <w:lvlText w:val="（%1）"/>
      <w:lvlJc w:val="left"/>
      <w:rPr>
        <w:rFonts w:hint="eastAsia"/>
      </w:rPr>
    </w:lvl>
  </w:abstractNum>
  <w:abstractNum w:abstractNumId="1">
    <w:nsid w:val="CABC2865"/>
    <w:multiLevelType w:val="singleLevel"/>
    <w:tmpl w:val="CABC2865"/>
    <w:lvl w:ilvl="0" w:tentative="0">
      <w:start w:val="2"/>
      <w:numFmt w:val="chineseCounting"/>
      <w:suff w:val="nothing"/>
      <w:lvlText w:val="%1、"/>
      <w:lvlJc w:val="left"/>
      <w:rPr>
        <w:rFonts w:hint="eastAsia"/>
      </w:rPr>
    </w:lvl>
  </w:abstractNum>
  <w:abstractNum w:abstractNumId="2">
    <w:nsid w:val="D2277517"/>
    <w:multiLevelType w:val="singleLevel"/>
    <w:tmpl w:val="D2277517"/>
    <w:lvl w:ilvl="0" w:tentative="0">
      <w:start w:val="5"/>
      <w:numFmt w:val="chineseCounting"/>
      <w:suff w:val="nothing"/>
      <w:lvlText w:val="（%1）"/>
      <w:lvlJc w:val="left"/>
      <w:rPr>
        <w:rFonts w:hint="eastAsia"/>
      </w:rPr>
    </w:lvl>
  </w:abstractNum>
  <w:abstractNum w:abstractNumId="3">
    <w:nsid w:val="079102AD"/>
    <w:multiLevelType w:val="multilevel"/>
    <w:tmpl w:val="079102AD"/>
    <w:lvl w:ilvl="0" w:tentative="0">
      <w:start w:val="1"/>
      <w:numFmt w:val="decimal"/>
      <w:pStyle w:val="63"/>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4">
    <w:nsid w:val="0BDC1670"/>
    <w:multiLevelType w:val="multilevel"/>
    <w:tmpl w:val="0BDC1670"/>
    <w:lvl w:ilvl="0" w:tentative="0">
      <w:start w:val="1"/>
      <w:numFmt w:val="decimal"/>
      <w:pStyle w:val="169"/>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0DDE2B46"/>
    <w:multiLevelType w:val="multilevel"/>
    <w:tmpl w:val="0DDE2B46"/>
    <w:lvl w:ilvl="0" w:tentative="0">
      <w:start w:val="1"/>
      <w:numFmt w:val="lowerLetter"/>
      <w:pStyle w:val="59"/>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6">
    <w:nsid w:val="1DBF583A"/>
    <w:multiLevelType w:val="multilevel"/>
    <w:tmpl w:val="1DBF583A"/>
    <w:lvl w:ilvl="0" w:tentative="0">
      <w:start w:val="1"/>
      <w:numFmt w:val="decimal"/>
      <w:pStyle w:val="48"/>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pStyle w:val="64"/>
      <w:lvlText w:val="%3."/>
      <w:lvlJc w:val="right"/>
      <w:pPr>
        <w:tabs>
          <w:tab w:val="left" w:pos="180"/>
        </w:tabs>
        <w:ind w:left="1172" w:hanging="629"/>
      </w:pPr>
      <w:rPr>
        <w:rFonts w:hint="eastAsia"/>
        <w:vertAlign w:val="baseline"/>
      </w:rPr>
    </w:lvl>
    <w:lvl w:ilvl="3" w:tentative="0">
      <w:start w:val="1"/>
      <w:numFmt w:val="decimal"/>
      <w:pStyle w:val="62"/>
      <w:lvlText w:val="%4."/>
      <w:lvlJc w:val="left"/>
      <w:pPr>
        <w:tabs>
          <w:tab w:val="left" w:pos="180"/>
        </w:tabs>
        <w:ind w:left="1172" w:hanging="629"/>
      </w:pPr>
      <w:rPr>
        <w:rFonts w:hint="eastAsia"/>
        <w:vertAlign w:val="baseline"/>
      </w:rPr>
    </w:lvl>
    <w:lvl w:ilvl="4" w:tentative="0">
      <w:start w:val="1"/>
      <w:numFmt w:val="lowerLetter"/>
      <w:pStyle w:val="56"/>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7">
    <w:nsid w:val="1FC91163"/>
    <w:multiLevelType w:val="multilevel"/>
    <w:tmpl w:val="1FC91163"/>
    <w:lvl w:ilvl="0" w:tentative="0">
      <w:start w:val="1"/>
      <w:numFmt w:val="decimal"/>
      <w:pStyle w:val="60"/>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53"/>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52"/>
      <w:suff w:val="nothing"/>
      <w:lvlText w:val="%1.%2.%3　"/>
      <w:lvlJc w:val="left"/>
      <w:pPr>
        <w:ind w:left="720" w:firstLine="0"/>
      </w:pPr>
      <w:rPr>
        <w:rFonts w:hint="eastAsia" w:ascii="黑体" w:hAnsi="Times New Roman" w:eastAsia="黑体"/>
        <w:b w:val="0"/>
        <w:i w:val="0"/>
        <w:sz w:val="21"/>
      </w:rPr>
    </w:lvl>
    <w:lvl w:ilvl="3" w:tentative="0">
      <w:start w:val="1"/>
      <w:numFmt w:val="decimal"/>
      <w:pStyle w:val="51"/>
      <w:suff w:val="nothing"/>
      <w:lvlText w:val="%1.%2.%3.%4　"/>
      <w:lvlJc w:val="left"/>
      <w:pPr>
        <w:ind w:left="142" w:firstLine="0"/>
      </w:pPr>
      <w:rPr>
        <w:rFonts w:hint="eastAsia" w:ascii="黑体" w:hAnsi="Times New Roman" w:eastAsia="黑体"/>
        <w:b w:val="0"/>
        <w:i w:val="0"/>
        <w:sz w:val="21"/>
      </w:rPr>
    </w:lvl>
    <w:lvl w:ilvl="4" w:tentative="0">
      <w:start w:val="1"/>
      <w:numFmt w:val="decimal"/>
      <w:pStyle w:val="55"/>
      <w:suff w:val="nothing"/>
      <w:lvlText w:val="%1.%2.%3.%4.%5　"/>
      <w:lvlJc w:val="left"/>
      <w:pPr>
        <w:ind w:left="0" w:firstLine="0"/>
      </w:pPr>
      <w:rPr>
        <w:rFonts w:hint="eastAsia" w:ascii="黑体" w:hAnsi="Times New Roman" w:eastAsia="黑体"/>
        <w:b w:val="0"/>
        <w:i w:val="0"/>
        <w:sz w:val="21"/>
      </w:rPr>
    </w:lvl>
    <w:lvl w:ilvl="5" w:tentative="0">
      <w:start w:val="1"/>
      <w:numFmt w:val="decimal"/>
      <w:pStyle w:val="54"/>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8">
    <w:nsid w:val="2A8F7113"/>
    <w:multiLevelType w:val="multilevel"/>
    <w:tmpl w:val="2A8F7113"/>
    <w:lvl w:ilvl="0" w:tentative="0">
      <w:start w:val="1"/>
      <w:numFmt w:val="upperLetter"/>
      <w:pStyle w:val="61"/>
      <w:suff w:val="space"/>
      <w:lvlText w:val="%1"/>
      <w:lvlJc w:val="left"/>
      <w:pPr>
        <w:ind w:left="623" w:hanging="425"/>
      </w:pPr>
      <w:rPr>
        <w:rFonts w:hint="eastAsia"/>
      </w:rPr>
    </w:lvl>
    <w:lvl w:ilvl="1" w:tentative="0">
      <w:start w:val="1"/>
      <w:numFmt w:val="decimal"/>
      <w:pStyle w:val="65"/>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9">
    <w:nsid w:val="50E828BC"/>
    <w:multiLevelType w:val="singleLevel"/>
    <w:tmpl w:val="50E828BC"/>
    <w:lvl w:ilvl="0" w:tentative="0">
      <w:start w:val="3"/>
      <w:numFmt w:val="decimal"/>
      <w:suff w:val="nothing"/>
      <w:lvlText w:val="%1、"/>
      <w:lvlJc w:val="left"/>
    </w:lvl>
  </w:abstractNum>
  <w:abstractNum w:abstractNumId="10">
    <w:nsid w:val="557C2AF5"/>
    <w:multiLevelType w:val="multilevel"/>
    <w:tmpl w:val="557C2AF5"/>
    <w:lvl w:ilvl="0" w:tentative="0">
      <w:start w:val="1"/>
      <w:numFmt w:val="decimal"/>
      <w:pStyle w:val="66"/>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1">
    <w:nsid w:val="646260FA"/>
    <w:multiLevelType w:val="multilevel"/>
    <w:tmpl w:val="646260FA"/>
    <w:lvl w:ilvl="0" w:tentative="0">
      <w:start w:val="1"/>
      <w:numFmt w:val="decimal"/>
      <w:pStyle w:val="49"/>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2">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79"/>
      <w:suff w:val="nothing"/>
      <w:lvlText w:val="%1%2　"/>
      <w:lvlJc w:val="left"/>
      <w:pPr>
        <w:ind w:left="0" w:firstLine="0"/>
      </w:pPr>
      <w:rPr>
        <w:rFonts w:hint="eastAsia" w:ascii="黑体" w:eastAsia="黑体"/>
        <w:b w:val="0"/>
        <w:i w:val="0"/>
        <w:sz w:val="21"/>
      </w:rPr>
    </w:lvl>
    <w:lvl w:ilvl="2" w:tentative="0">
      <w:start w:val="1"/>
      <w:numFmt w:val="decimal"/>
      <w:pStyle w:val="178"/>
      <w:suff w:val="nothing"/>
      <w:lvlText w:val="%1%2.%3　"/>
      <w:lvlJc w:val="left"/>
      <w:pPr>
        <w:ind w:left="567"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6"/>
  </w:num>
  <w:num w:numId="2">
    <w:abstractNumId w:val="11"/>
  </w:num>
  <w:num w:numId="3">
    <w:abstractNumId w:val="7"/>
  </w:num>
  <w:num w:numId="4">
    <w:abstractNumId w:val="5"/>
  </w:num>
  <w:num w:numId="5">
    <w:abstractNumId w:val="8"/>
  </w:num>
  <w:num w:numId="6">
    <w:abstractNumId w:val="3"/>
  </w:num>
  <w:num w:numId="7">
    <w:abstractNumId w:val="10"/>
  </w:num>
  <w:num w:numId="8">
    <w:abstractNumId w:val="4"/>
  </w:num>
  <w:num w:numId="9">
    <w:abstractNumId w:val="12"/>
  </w:num>
  <w:num w:numId="10">
    <w:abstractNumId w:val="1"/>
  </w:num>
  <w:num w:numId="11">
    <w:abstractNumId w:val="0"/>
  </w:num>
  <w:num w:numId="12">
    <w:abstractNumId w:val="9"/>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Q3YWExZTYxNzZlYmU1MGU0YTk4NjM0MTc3NDMyMzUifQ=="/>
  </w:docVars>
  <w:rsids>
    <w:rsidRoot w:val="0042062E"/>
    <w:rsid w:val="00001249"/>
    <w:rsid w:val="00010E41"/>
    <w:rsid w:val="00011226"/>
    <w:rsid w:val="00012406"/>
    <w:rsid w:val="0001367C"/>
    <w:rsid w:val="0001548C"/>
    <w:rsid w:val="000165B3"/>
    <w:rsid w:val="00016837"/>
    <w:rsid w:val="00020509"/>
    <w:rsid w:val="00021331"/>
    <w:rsid w:val="00024212"/>
    <w:rsid w:val="00024664"/>
    <w:rsid w:val="000260BA"/>
    <w:rsid w:val="00027600"/>
    <w:rsid w:val="00030608"/>
    <w:rsid w:val="00033784"/>
    <w:rsid w:val="00033DD1"/>
    <w:rsid w:val="00034233"/>
    <w:rsid w:val="00034BDB"/>
    <w:rsid w:val="000359AB"/>
    <w:rsid w:val="00036B6B"/>
    <w:rsid w:val="00042617"/>
    <w:rsid w:val="00043234"/>
    <w:rsid w:val="00045571"/>
    <w:rsid w:val="00051B10"/>
    <w:rsid w:val="000543C3"/>
    <w:rsid w:val="00057758"/>
    <w:rsid w:val="00061BE5"/>
    <w:rsid w:val="0007330D"/>
    <w:rsid w:val="00073BBD"/>
    <w:rsid w:val="00073E5A"/>
    <w:rsid w:val="00076EB6"/>
    <w:rsid w:val="00077FFC"/>
    <w:rsid w:val="00080A72"/>
    <w:rsid w:val="00080F2F"/>
    <w:rsid w:val="00081085"/>
    <w:rsid w:val="0008316B"/>
    <w:rsid w:val="0008451B"/>
    <w:rsid w:val="00084CD1"/>
    <w:rsid w:val="00090FC2"/>
    <w:rsid w:val="0009177A"/>
    <w:rsid w:val="00091A5B"/>
    <w:rsid w:val="00091C08"/>
    <w:rsid w:val="00093E74"/>
    <w:rsid w:val="00095240"/>
    <w:rsid w:val="00096206"/>
    <w:rsid w:val="000962F6"/>
    <w:rsid w:val="0009674E"/>
    <w:rsid w:val="000A0201"/>
    <w:rsid w:val="000A281C"/>
    <w:rsid w:val="000A4601"/>
    <w:rsid w:val="000A6E52"/>
    <w:rsid w:val="000A77CD"/>
    <w:rsid w:val="000B0D8E"/>
    <w:rsid w:val="000B1209"/>
    <w:rsid w:val="000B1B90"/>
    <w:rsid w:val="000B60AB"/>
    <w:rsid w:val="000B64FC"/>
    <w:rsid w:val="000C0FFF"/>
    <w:rsid w:val="000C25EE"/>
    <w:rsid w:val="000C3937"/>
    <w:rsid w:val="000C4E94"/>
    <w:rsid w:val="000C5321"/>
    <w:rsid w:val="000C7910"/>
    <w:rsid w:val="000D1280"/>
    <w:rsid w:val="000D15BE"/>
    <w:rsid w:val="000D24C0"/>
    <w:rsid w:val="000D6612"/>
    <w:rsid w:val="000E5A3F"/>
    <w:rsid w:val="000F22CB"/>
    <w:rsid w:val="000F3365"/>
    <w:rsid w:val="000F517A"/>
    <w:rsid w:val="0010076B"/>
    <w:rsid w:val="00101D2E"/>
    <w:rsid w:val="0010242E"/>
    <w:rsid w:val="00102AA8"/>
    <w:rsid w:val="00106661"/>
    <w:rsid w:val="00110869"/>
    <w:rsid w:val="00113835"/>
    <w:rsid w:val="00113902"/>
    <w:rsid w:val="00114946"/>
    <w:rsid w:val="0012534B"/>
    <w:rsid w:val="00126CA6"/>
    <w:rsid w:val="00127EB0"/>
    <w:rsid w:val="00131B03"/>
    <w:rsid w:val="00131E13"/>
    <w:rsid w:val="00133786"/>
    <w:rsid w:val="00134DD4"/>
    <w:rsid w:val="0014301B"/>
    <w:rsid w:val="0014640D"/>
    <w:rsid w:val="00147861"/>
    <w:rsid w:val="00147CB9"/>
    <w:rsid w:val="00154109"/>
    <w:rsid w:val="0015652F"/>
    <w:rsid w:val="00156663"/>
    <w:rsid w:val="00156DCE"/>
    <w:rsid w:val="00156EFC"/>
    <w:rsid w:val="001577BC"/>
    <w:rsid w:val="001611BB"/>
    <w:rsid w:val="001632FC"/>
    <w:rsid w:val="00167732"/>
    <w:rsid w:val="001705B7"/>
    <w:rsid w:val="00170EA7"/>
    <w:rsid w:val="001712A8"/>
    <w:rsid w:val="001718D6"/>
    <w:rsid w:val="00173BFC"/>
    <w:rsid w:val="00175390"/>
    <w:rsid w:val="00176608"/>
    <w:rsid w:val="00181230"/>
    <w:rsid w:val="00186BF2"/>
    <w:rsid w:val="00190A64"/>
    <w:rsid w:val="00191A12"/>
    <w:rsid w:val="001923CF"/>
    <w:rsid w:val="001933C2"/>
    <w:rsid w:val="001939DC"/>
    <w:rsid w:val="00194FE3"/>
    <w:rsid w:val="00196054"/>
    <w:rsid w:val="001A3402"/>
    <w:rsid w:val="001A3552"/>
    <w:rsid w:val="001B0691"/>
    <w:rsid w:val="001B1A0D"/>
    <w:rsid w:val="001B2132"/>
    <w:rsid w:val="001B3B17"/>
    <w:rsid w:val="001B7105"/>
    <w:rsid w:val="001C31FA"/>
    <w:rsid w:val="001C47F7"/>
    <w:rsid w:val="001C4F7F"/>
    <w:rsid w:val="001C57C0"/>
    <w:rsid w:val="001C5F01"/>
    <w:rsid w:val="001C793C"/>
    <w:rsid w:val="001D22F0"/>
    <w:rsid w:val="001D7816"/>
    <w:rsid w:val="001E0664"/>
    <w:rsid w:val="001E1174"/>
    <w:rsid w:val="001E6CE0"/>
    <w:rsid w:val="001E7DF2"/>
    <w:rsid w:val="001F2221"/>
    <w:rsid w:val="001F241E"/>
    <w:rsid w:val="001F56DF"/>
    <w:rsid w:val="001F5A4B"/>
    <w:rsid w:val="001F660A"/>
    <w:rsid w:val="00205186"/>
    <w:rsid w:val="00205603"/>
    <w:rsid w:val="002058CC"/>
    <w:rsid w:val="002116FB"/>
    <w:rsid w:val="00214221"/>
    <w:rsid w:val="00214BF8"/>
    <w:rsid w:val="002156B1"/>
    <w:rsid w:val="00215DD2"/>
    <w:rsid w:val="00216599"/>
    <w:rsid w:val="0021765D"/>
    <w:rsid w:val="002200EE"/>
    <w:rsid w:val="002208C3"/>
    <w:rsid w:val="002223DD"/>
    <w:rsid w:val="002231E8"/>
    <w:rsid w:val="00223EB7"/>
    <w:rsid w:val="00224463"/>
    <w:rsid w:val="00230CEF"/>
    <w:rsid w:val="00230F48"/>
    <w:rsid w:val="00231E62"/>
    <w:rsid w:val="00232769"/>
    <w:rsid w:val="002412DA"/>
    <w:rsid w:val="00242A27"/>
    <w:rsid w:val="00242D78"/>
    <w:rsid w:val="00244ADA"/>
    <w:rsid w:val="002451DD"/>
    <w:rsid w:val="00245295"/>
    <w:rsid w:val="002465C7"/>
    <w:rsid w:val="00246664"/>
    <w:rsid w:val="00250314"/>
    <w:rsid w:val="00251CC2"/>
    <w:rsid w:val="00252D21"/>
    <w:rsid w:val="00253C7B"/>
    <w:rsid w:val="00256FE0"/>
    <w:rsid w:val="002621E1"/>
    <w:rsid w:val="00262753"/>
    <w:rsid w:val="00262771"/>
    <w:rsid w:val="00264A7D"/>
    <w:rsid w:val="00264CE4"/>
    <w:rsid w:val="00266A16"/>
    <w:rsid w:val="002702A1"/>
    <w:rsid w:val="00273402"/>
    <w:rsid w:val="00274CD4"/>
    <w:rsid w:val="002756E9"/>
    <w:rsid w:val="00277E04"/>
    <w:rsid w:val="00280AA3"/>
    <w:rsid w:val="00283085"/>
    <w:rsid w:val="002840E9"/>
    <w:rsid w:val="00284A0A"/>
    <w:rsid w:val="002855D2"/>
    <w:rsid w:val="0029070A"/>
    <w:rsid w:val="0029084D"/>
    <w:rsid w:val="00290D80"/>
    <w:rsid w:val="00290E68"/>
    <w:rsid w:val="00291AF8"/>
    <w:rsid w:val="00294352"/>
    <w:rsid w:val="00297CB9"/>
    <w:rsid w:val="002A02D9"/>
    <w:rsid w:val="002A3998"/>
    <w:rsid w:val="002A4D06"/>
    <w:rsid w:val="002B07E3"/>
    <w:rsid w:val="002B14BD"/>
    <w:rsid w:val="002B231E"/>
    <w:rsid w:val="002B512F"/>
    <w:rsid w:val="002C1F48"/>
    <w:rsid w:val="002C34EA"/>
    <w:rsid w:val="002C4FFB"/>
    <w:rsid w:val="002C5534"/>
    <w:rsid w:val="002C611B"/>
    <w:rsid w:val="002C73B6"/>
    <w:rsid w:val="002D0E1A"/>
    <w:rsid w:val="002D4018"/>
    <w:rsid w:val="002D4E64"/>
    <w:rsid w:val="002D533D"/>
    <w:rsid w:val="002D65DE"/>
    <w:rsid w:val="002D6D1E"/>
    <w:rsid w:val="002E073F"/>
    <w:rsid w:val="002E3630"/>
    <w:rsid w:val="002E5EB2"/>
    <w:rsid w:val="002E7A35"/>
    <w:rsid w:val="002F0CC8"/>
    <w:rsid w:val="002F1F4C"/>
    <w:rsid w:val="002F34AA"/>
    <w:rsid w:val="002F4D7B"/>
    <w:rsid w:val="002F513F"/>
    <w:rsid w:val="002F5C3B"/>
    <w:rsid w:val="002F6E59"/>
    <w:rsid w:val="002F728B"/>
    <w:rsid w:val="003002F9"/>
    <w:rsid w:val="003008AB"/>
    <w:rsid w:val="00301DA7"/>
    <w:rsid w:val="00302442"/>
    <w:rsid w:val="0030254D"/>
    <w:rsid w:val="003025DF"/>
    <w:rsid w:val="00302BD7"/>
    <w:rsid w:val="00302EB0"/>
    <w:rsid w:val="00303E23"/>
    <w:rsid w:val="00306925"/>
    <w:rsid w:val="003100AF"/>
    <w:rsid w:val="00311AD3"/>
    <w:rsid w:val="00312500"/>
    <w:rsid w:val="003144B8"/>
    <w:rsid w:val="00314689"/>
    <w:rsid w:val="00315B7D"/>
    <w:rsid w:val="00315EAC"/>
    <w:rsid w:val="003174F4"/>
    <w:rsid w:val="0032010E"/>
    <w:rsid w:val="003201F0"/>
    <w:rsid w:val="00321944"/>
    <w:rsid w:val="00323B36"/>
    <w:rsid w:val="00324178"/>
    <w:rsid w:val="00324BA0"/>
    <w:rsid w:val="00326FC4"/>
    <w:rsid w:val="003307EB"/>
    <w:rsid w:val="00331185"/>
    <w:rsid w:val="00332222"/>
    <w:rsid w:val="003342A1"/>
    <w:rsid w:val="00343C24"/>
    <w:rsid w:val="00345556"/>
    <w:rsid w:val="00345BCC"/>
    <w:rsid w:val="00351D21"/>
    <w:rsid w:val="00353735"/>
    <w:rsid w:val="00356F76"/>
    <w:rsid w:val="00357A1D"/>
    <w:rsid w:val="00357E18"/>
    <w:rsid w:val="0036001E"/>
    <w:rsid w:val="003600DA"/>
    <w:rsid w:val="00360826"/>
    <w:rsid w:val="0036089B"/>
    <w:rsid w:val="003619E8"/>
    <w:rsid w:val="00361E3B"/>
    <w:rsid w:val="0036285A"/>
    <w:rsid w:val="00362F10"/>
    <w:rsid w:val="003635CB"/>
    <w:rsid w:val="00367486"/>
    <w:rsid w:val="00370CC3"/>
    <w:rsid w:val="00371D6C"/>
    <w:rsid w:val="00373F03"/>
    <w:rsid w:val="00382AB2"/>
    <w:rsid w:val="00384C9D"/>
    <w:rsid w:val="00392E22"/>
    <w:rsid w:val="003A2936"/>
    <w:rsid w:val="003B119F"/>
    <w:rsid w:val="003B18B9"/>
    <w:rsid w:val="003B3F74"/>
    <w:rsid w:val="003B4D23"/>
    <w:rsid w:val="003B5050"/>
    <w:rsid w:val="003C00FC"/>
    <w:rsid w:val="003C0F17"/>
    <w:rsid w:val="003C33D0"/>
    <w:rsid w:val="003C483D"/>
    <w:rsid w:val="003C65D6"/>
    <w:rsid w:val="003C74F6"/>
    <w:rsid w:val="003D2002"/>
    <w:rsid w:val="003D2687"/>
    <w:rsid w:val="003D5C65"/>
    <w:rsid w:val="003D5CB5"/>
    <w:rsid w:val="003E330B"/>
    <w:rsid w:val="003E38A3"/>
    <w:rsid w:val="003E4A86"/>
    <w:rsid w:val="003E6E40"/>
    <w:rsid w:val="003E7AFB"/>
    <w:rsid w:val="003E7CCB"/>
    <w:rsid w:val="003F0123"/>
    <w:rsid w:val="003F1B2F"/>
    <w:rsid w:val="003F1DAA"/>
    <w:rsid w:val="003F284D"/>
    <w:rsid w:val="003F286F"/>
    <w:rsid w:val="003F28D0"/>
    <w:rsid w:val="003F3119"/>
    <w:rsid w:val="003F51FA"/>
    <w:rsid w:val="003F727B"/>
    <w:rsid w:val="0040035D"/>
    <w:rsid w:val="0040122C"/>
    <w:rsid w:val="00401A1A"/>
    <w:rsid w:val="00402134"/>
    <w:rsid w:val="00403B65"/>
    <w:rsid w:val="00403E80"/>
    <w:rsid w:val="00404BD1"/>
    <w:rsid w:val="00404F3C"/>
    <w:rsid w:val="00406A80"/>
    <w:rsid w:val="00410D85"/>
    <w:rsid w:val="0042062E"/>
    <w:rsid w:val="004224AB"/>
    <w:rsid w:val="00423992"/>
    <w:rsid w:val="00424983"/>
    <w:rsid w:val="00424FCB"/>
    <w:rsid w:val="00425860"/>
    <w:rsid w:val="00425F1E"/>
    <w:rsid w:val="00434E46"/>
    <w:rsid w:val="0044118D"/>
    <w:rsid w:val="00443322"/>
    <w:rsid w:val="004434D3"/>
    <w:rsid w:val="00445598"/>
    <w:rsid w:val="00445D15"/>
    <w:rsid w:val="004503F4"/>
    <w:rsid w:val="00454623"/>
    <w:rsid w:val="0045492B"/>
    <w:rsid w:val="00455661"/>
    <w:rsid w:val="0046025A"/>
    <w:rsid w:val="004605D8"/>
    <w:rsid w:val="004626AF"/>
    <w:rsid w:val="00462B30"/>
    <w:rsid w:val="00464470"/>
    <w:rsid w:val="00465230"/>
    <w:rsid w:val="004676B8"/>
    <w:rsid w:val="00467D5D"/>
    <w:rsid w:val="00471952"/>
    <w:rsid w:val="004805D0"/>
    <w:rsid w:val="00480BA1"/>
    <w:rsid w:val="00483335"/>
    <w:rsid w:val="0048357F"/>
    <w:rsid w:val="00484EF3"/>
    <w:rsid w:val="00485CE4"/>
    <w:rsid w:val="004865C9"/>
    <w:rsid w:val="0049011A"/>
    <w:rsid w:val="00490312"/>
    <w:rsid w:val="00492985"/>
    <w:rsid w:val="0049390C"/>
    <w:rsid w:val="004A25C4"/>
    <w:rsid w:val="004A3714"/>
    <w:rsid w:val="004A5F1E"/>
    <w:rsid w:val="004A614E"/>
    <w:rsid w:val="004A7116"/>
    <w:rsid w:val="004A76AB"/>
    <w:rsid w:val="004A7759"/>
    <w:rsid w:val="004A7B39"/>
    <w:rsid w:val="004B2567"/>
    <w:rsid w:val="004B2E7F"/>
    <w:rsid w:val="004B4632"/>
    <w:rsid w:val="004B7526"/>
    <w:rsid w:val="004C4136"/>
    <w:rsid w:val="004C52C6"/>
    <w:rsid w:val="004C68B7"/>
    <w:rsid w:val="004D1801"/>
    <w:rsid w:val="004D27CD"/>
    <w:rsid w:val="004D5F24"/>
    <w:rsid w:val="004D7654"/>
    <w:rsid w:val="004E0D08"/>
    <w:rsid w:val="004E1090"/>
    <w:rsid w:val="004E169F"/>
    <w:rsid w:val="004E39B0"/>
    <w:rsid w:val="004E7CAB"/>
    <w:rsid w:val="004F0593"/>
    <w:rsid w:val="004F48C2"/>
    <w:rsid w:val="004F57CE"/>
    <w:rsid w:val="004F5CB0"/>
    <w:rsid w:val="004F6362"/>
    <w:rsid w:val="005003F2"/>
    <w:rsid w:val="00500F96"/>
    <w:rsid w:val="00502329"/>
    <w:rsid w:val="00502832"/>
    <w:rsid w:val="00505158"/>
    <w:rsid w:val="005056B7"/>
    <w:rsid w:val="00506C23"/>
    <w:rsid w:val="0051148B"/>
    <w:rsid w:val="0051295A"/>
    <w:rsid w:val="005139E6"/>
    <w:rsid w:val="0051452B"/>
    <w:rsid w:val="005159F5"/>
    <w:rsid w:val="00517915"/>
    <w:rsid w:val="0052148A"/>
    <w:rsid w:val="005238C6"/>
    <w:rsid w:val="00523A6E"/>
    <w:rsid w:val="00523F17"/>
    <w:rsid w:val="005255ED"/>
    <w:rsid w:val="00526200"/>
    <w:rsid w:val="005269CF"/>
    <w:rsid w:val="00535AC6"/>
    <w:rsid w:val="00537550"/>
    <w:rsid w:val="005442BD"/>
    <w:rsid w:val="005566B8"/>
    <w:rsid w:val="00557BD1"/>
    <w:rsid w:val="00560D40"/>
    <w:rsid w:val="005639F8"/>
    <w:rsid w:val="00563D26"/>
    <w:rsid w:val="00563D98"/>
    <w:rsid w:val="00570BAC"/>
    <w:rsid w:val="005742DB"/>
    <w:rsid w:val="00577391"/>
    <w:rsid w:val="00577B1B"/>
    <w:rsid w:val="005802BD"/>
    <w:rsid w:val="0058151C"/>
    <w:rsid w:val="005834F3"/>
    <w:rsid w:val="00586C4B"/>
    <w:rsid w:val="005870E5"/>
    <w:rsid w:val="005873E3"/>
    <w:rsid w:val="0059129D"/>
    <w:rsid w:val="00596702"/>
    <w:rsid w:val="005A2D23"/>
    <w:rsid w:val="005A3010"/>
    <w:rsid w:val="005A4523"/>
    <w:rsid w:val="005A54AC"/>
    <w:rsid w:val="005A6904"/>
    <w:rsid w:val="005A76EB"/>
    <w:rsid w:val="005B0CDC"/>
    <w:rsid w:val="005B169A"/>
    <w:rsid w:val="005B4C16"/>
    <w:rsid w:val="005B78BE"/>
    <w:rsid w:val="005B7B7E"/>
    <w:rsid w:val="005C78B9"/>
    <w:rsid w:val="005D06D6"/>
    <w:rsid w:val="005D1EE1"/>
    <w:rsid w:val="005D2AEE"/>
    <w:rsid w:val="005D2C1B"/>
    <w:rsid w:val="005D337A"/>
    <w:rsid w:val="005D3F96"/>
    <w:rsid w:val="005D5DDF"/>
    <w:rsid w:val="005D6A5C"/>
    <w:rsid w:val="005E05D4"/>
    <w:rsid w:val="005E1E16"/>
    <w:rsid w:val="005E1E90"/>
    <w:rsid w:val="005E207A"/>
    <w:rsid w:val="005E2143"/>
    <w:rsid w:val="005E3488"/>
    <w:rsid w:val="005E3CA3"/>
    <w:rsid w:val="005E7D75"/>
    <w:rsid w:val="005E7FBF"/>
    <w:rsid w:val="005F060F"/>
    <w:rsid w:val="005F0FE4"/>
    <w:rsid w:val="005F1E35"/>
    <w:rsid w:val="005F31C4"/>
    <w:rsid w:val="005F36D9"/>
    <w:rsid w:val="005F64E7"/>
    <w:rsid w:val="00601644"/>
    <w:rsid w:val="00602549"/>
    <w:rsid w:val="006025FB"/>
    <w:rsid w:val="0060656D"/>
    <w:rsid w:val="006066AB"/>
    <w:rsid w:val="00606B5A"/>
    <w:rsid w:val="00610884"/>
    <w:rsid w:val="0061193D"/>
    <w:rsid w:val="00612C06"/>
    <w:rsid w:val="00614106"/>
    <w:rsid w:val="006146B8"/>
    <w:rsid w:val="00614984"/>
    <w:rsid w:val="00616AFF"/>
    <w:rsid w:val="00616BD3"/>
    <w:rsid w:val="00622CC1"/>
    <w:rsid w:val="006241BB"/>
    <w:rsid w:val="00624F29"/>
    <w:rsid w:val="0062568F"/>
    <w:rsid w:val="0062584E"/>
    <w:rsid w:val="0062615F"/>
    <w:rsid w:val="0062702A"/>
    <w:rsid w:val="006273D3"/>
    <w:rsid w:val="00631AF6"/>
    <w:rsid w:val="00632304"/>
    <w:rsid w:val="00634592"/>
    <w:rsid w:val="006375ED"/>
    <w:rsid w:val="006404F1"/>
    <w:rsid w:val="00640D64"/>
    <w:rsid w:val="00642DC0"/>
    <w:rsid w:val="006434C0"/>
    <w:rsid w:val="006467C4"/>
    <w:rsid w:val="00651C9C"/>
    <w:rsid w:val="00654A63"/>
    <w:rsid w:val="00654D8C"/>
    <w:rsid w:val="006555D8"/>
    <w:rsid w:val="006610FC"/>
    <w:rsid w:val="006670DB"/>
    <w:rsid w:val="0066710C"/>
    <w:rsid w:val="00667800"/>
    <w:rsid w:val="00667C57"/>
    <w:rsid w:val="00670F24"/>
    <w:rsid w:val="0067246F"/>
    <w:rsid w:val="006734C7"/>
    <w:rsid w:val="00677111"/>
    <w:rsid w:val="0068055F"/>
    <w:rsid w:val="006811BF"/>
    <w:rsid w:val="006821EF"/>
    <w:rsid w:val="00682D7C"/>
    <w:rsid w:val="00682FAD"/>
    <w:rsid w:val="0068392F"/>
    <w:rsid w:val="0068494D"/>
    <w:rsid w:val="00690D72"/>
    <w:rsid w:val="00692790"/>
    <w:rsid w:val="00692CBF"/>
    <w:rsid w:val="006935E2"/>
    <w:rsid w:val="00696D1C"/>
    <w:rsid w:val="0069717B"/>
    <w:rsid w:val="006A0CE3"/>
    <w:rsid w:val="006A1BD7"/>
    <w:rsid w:val="006A4B42"/>
    <w:rsid w:val="006A4FC7"/>
    <w:rsid w:val="006A639E"/>
    <w:rsid w:val="006A70F9"/>
    <w:rsid w:val="006B05AC"/>
    <w:rsid w:val="006B1849"/>
    <w:rsid w:val="006B2384"/>
    <w:rsid w:val="006B2C9D"/>
    <w:rsid w:val="006B6198"/>
    <w:rsid w:val="006C0CC1"/>
    <w:rsid w:val="006C0E9A"/>
    <w:rsid w:val="006C377A"/>
    <w:rsid w:val="006C4FAA"/>
    <w:rsid w:val="006C6B87"/>
    <w:rsid w:val="006C70ED"/>
    <w:rsid w:val="006D0B66"/>
    <w:rsid w:val="006D30A9"/>
    <w:rsid w:val="006D5109"/>
    <w:rsid w:val="006D590D"/>
    <w:rsid w:val="006D5D5F"/>
    <w:rsid w:val="006D69CA"/>
    <w:rsid w:val="006E0BC5"/>
    <w:rsid w:val="006E155C"/>
    <w:rsid w:val="006E21B0"/>
    <w:rsid w:val="006E26DF"/>
    <w:rsid w:val="006E7BA3"/>
    <w:rsid w:val="006F0E25"/>
    <w:rsid w:val="006F5966"/>
    <w:rsid w:val="006F77F7"/>
    <w:rsid w:val="00700D32"/>
    <w:rsid w:val="0070138D"/>
    <w:rsid w:val="00705C0B"/>
    <w:rsid w:val="00705F55"/>
    <w:rsid w:val="00706950"/>
    <w:rsid w:val="0070730B"/>
    <w:rsid w:val="0071065C"/>
    <w:rsid w:val="00710684"/>
    <w:rsid w:val="00712BC5"/>
    <w:rsid w:val="00712FD1"/>
    <w:rsid w:val="00714852"/>
    <w:rsid w:val="00714F84"/>
    <w:rsid w:val="00716EAC"/>
    <w:rsid w:val="00720395"/>
    <w:rsid w:val="0072171E"/>
    <w:rsid w:val="00722763"/>
    <w:rsid w:val="0072448B"/>
    <w:rsid w:val="00726016"/>
    <w:rsid w:val="0072770D"/>
    <w:rsid w:val="00730025"/>
    <w:rsid w:val="007344C1"/>
    <w:rsid w:val="007344D0"/>
    <w:rsid w:val="00734B95"/>
    <w:rsid w:val="00735BBB"/>
    <w:rsid w:val="007412AA"/>
    <w:rsid w:val="00742A4C"/>
    <w:rsid w:val="00745628"/>
    <w:rsid w:val="007530D3"/>
    <w:rsid w:val="00753C74"/>
    <w:rsid w:val="0075401E"/>
    <w:rsid w:val="007540BF"/>
    <w:rsid w:val="007544A5"/>
    <w:rsid w:val="007544D8"/>
    <w:rsid w:val="00754A74"/>
    <w:rsid w:val="007556A8"/>
    <w:rsid w:val="00760DDA"/>
    <w:rsid w:val="00764095"/>
    <w:rsid w:val="00764D89"/>
    <w:rsid w:val="00767558"/>
    <w:rsid w:val="00767B7A"/>
    <w:rsid w:val="00767F45"/>
    <w:rsid w:val="0077188B"/>
    <w:rsid w:val="0077304C"/>
    <w:rsid w:val="0077577B"/>
    <w:rsid w:val="00777AA1"/>
    <w:rsid w:val="0078030F"/>
    <w:rsid w:val="007812EA"/>
    <w:rsid w:val="00781352"/>
    <w:rsid w:val="00781E83"/>
    <w:rsid w:val="00781F1A"/>
    <w:rsid w:val="00782C84"/>
    <w:rsid w:val="00784AA8"/>
    <w:rsid w:val="00787F6E"/>
    <w:rsid w:val="007912E9"/>
    <w:rsid w:val="007912F0"/>
    <w:rsid w:val="007915AF"/>
    <w:rsid w:val="0079198F"/>
    <w:rsid w:val="00791F89"/>
    <w:rsid w:val="0079217A"/>
    <w:rsid w:val="00793820"/>
    <w:rsid w:val="00793FC8"/>
    <w:rsid w:val="007940E9"/>
    <w:rsid w:val="00794F46"/>
    <w:rsid w:val="00795079"/>
    <w:rsid w:val="00796113"/>
    <w:rsid w:val="00797654"/>
    <w:rsid w:val="007A022B"/>
    <w:rsid w:val="007A36E9"/>
    <w:rsid w:val="007A478A"/>
    <w:rsid w:val="007A5B26"/>
    <w:rsid w:val="007A5F12"/>
    <w:rsid w:val="007A6FE4"/>
    <w:rsid w:val="007A710B"/>
    <w:rsid w:val="007A7CED"/>
    <w:rsid w:val="007B02F2"/>
    <w:rsid w:val="007B305F"/>
    <w:rsid w:val="007B3C18"/>
    <w:rsid w:val="007B4614"/>
    <w:rsid w:val="007B7812"/>
    <w:rsid w:val="007C11D7"/>
    <w:rsid w:val="007C2244"/>
    <w:rsid w:val="007C2F81"/>
    <w:rsid w:val="007C37FE"/>
    <w:rsid w:val="007C469E"/>
    <w:rsid w:val="007C4C1F"/>
    <w:rsid w:val="007C5AFE"/>
    <w:rsid w:val="007C5F17"/>
    <w:rsid w:val="007C63C3"/>
    <w:rsid w:val="007C783A"/>
    <w:rsid w:val="007D01C6"/>
    <w:rsid w:val="007D0945"/>
    <w:rsid w:val="007D11B7"/>
    <w:rsid w:val="007D2F7B"/>
    <w:rsid w:val="007D5C0F"/>
    <w:rsid w:val="007D646F"/>
    <w:rsid w:val="007E0035"/>
    <w:rsid w:val="007E1BC2"/>
    <w:rsid w:val="007E54A9"/>
    <w:rsid w:val="007E7CCB"/>
    <w:rsid w:val="007F0119"/>
    <w:rsid w:val="007F05BA"/>
    <w:rsid w:val="007F17C2"/>
    <w:rsid w:val="007F17E9"/>
    <w:rsid w:val="007F3051"/>
    <w:rsid w:val="007F445F"/>
    <w:rsid w:val="007F69C4"/>
    <w:rsid w:val="007F73F0"/>
    <w:rsid w:val="008018D6"/>
    <w:rsid w:val="00802E48"/>
    <w:rsid w:val="008059FE"/>
    <w:rsid w:val="00805FC1"/>
    <w:rsid w:val="008125DE"/>
    <w:rsid w:val="00812666"/>
    <w:rsid w:val="00817D1E"/>
    <w:rsid w:val="00820573"/>
    <w:rsid w:val="00824185"/>
    <w:rsid w:val="00825BEF"/>
    <w:rsid w:val="00827138"/>
    <w:rsid w:val="008275DE"/>
    <w:rsid w:val="0083025F"/>
    <w:rsid w:val="008316AA"/>
    <w:rsid w:val="00834E83"/>
    <w:rsid w:val="00834F29"/>
    <w:rsid w:val="00835621"/>
    <w:rsid w:val="00835F50"/>
    <w:rsid w:val="00842FFC"/>
    <w:rsid w:val="00843099"/>
    <w:rsid w:val="008509B4"/>
    <w:rsid w:val="00852E41"/>
    <w:rsid w:val="00853D00"/>
    <w:rsid w:val="0085555C"/>
    <w:rsid w:val="00860076"/>
    <w:rsid w:val="00860161"/>
    <w:rsid w:val="00864525"/>
    <w:rsid w:val="00864EDC"/>
    <w:rsid w:val="0086616D"/>
    <w:rsid w:val="008731B7"/>
    <w:rsid w:val="00873851"/>
    <w:rsid w:val="008740C1"/>
    <w:rsid w:val="00877C2A"/>
    <w:rsid w:val="0088023F"/>
    <w:rsid w:val="00882AAF"/>
    <w:rsid w:val="008853E8"/>
    <w:rsid w:val="008865C0"/>
    <w:rsid w:val="00890B67"/>
    <w:rsid w:val="00891452"/>
    <w:rsid w:val="00893CE3"/>
    <w:rsid w:val="008969D8"/>
    <w:rsid w:val="008A15DC"/>
    <w:rsid w:val="008A3C9A"/>
    <w:rsid w:val="008A54D0"/>
    <w:rsid w:val="008A5709"/>
    <w:rsid w:val="008A6ECF"/>
    <w:rsid w:val="008B1A6F"/>
    <w:rsid w:val="008B2112"/>
    <w:rsid w:val="008B2277"/>
    <w:rsid w:val="008B3F33"/>
    <w:rsid w:val="008B4818"/>
    <w:rsid w:val="008B7755"/>
    <w:rsid w:val="008B7C56"/>
    <w:rsid w:val="008B7EBD"/>
    <w:rsid w:val="008C35FD"/>
    <w:rsid w:val="008C3EC0"/>
    <w:rsid w:val="008C421C"/>
    <w:rsid w:val="008C54DD"/>
    <w:rsid w:val="008C5A62"/>
    <w:rsid w:val="008C67C1"/>
    <w:rsid w:val="008C6E88"/>
    <w:rsid w:val="008C7B6F"/>
    <w:rsid w:val="008D1502"/>
    <w:rsid w:val="008D2E6B"/>
    <w:rsid w:val="008D3059"/>
    <w:rsid w:val="008D412C"/>
    <w:rsid w:val="008D44E2"/>
    <w:rsid w:val="008D5C1F"/>
    <w:rsid w:val="008E4D85"/>
    <w:rsid w:val="008E61B3"/>
    <w:rsid w:val="008F001F"/>
    <w:rsid w:val="008F0ABE"/>
    <w:rsid w:val="008F2AB9"/>
    <w:rsid w:val="008F2E1A"/>
    <w:rsid w:val="008F389B"/>
    <w:rsid w:val="008F3AB9"/>
    <w:rsid w:val="008F3C08"/>
    <w:rsid w:val="008F4DE3"/>
    <w:rsid w:val="008F744A"/>
    <w:rsid w:val="008F79C5"/>
    <w:rsid w:val="009004ED"/>
    <w:rsid w:val="00900B1D"/>
    <w:rsid w:val="00901139"/>
    <w:rsid w:val="00905BB3"/>
    <w:rsid w:val="00910D7C"/>
    <w:rsid w:val="00911CE5"/>
    <w:rsid w:val="0091703A"/>
    <w:rsid w:val="009204B6"/>
    <w:rsid w:val="009204DB"/>
    <w:rsid w:val="0092128F"/>
    <w:rsid w:val="009220D3"/>
    <w:rsid w:val="009226F2"/>
    <w:rsid w:val="00924645"/>
    <w:rsid w:val="0092577A"/>
    <w:rsid w:val="00926454"/>
    <w:rsid w:val="009264C9"/>
    <w:rsid w:val="00927B3B"/>
    <w:rsid w:val="00930317"/>
    <w:rsid w:val="00932BBC"/>
    <w:rsid w:val="00933333"/>
    <w:rsid w:val="00936A0A"/>
    <w:rsid w:val="00940D57"/>
    <w:rsid w:val="00942599"/>
    <w:rsid w:val="00942B84"/>
    <w:rsid w:val="009446FC"/>
    <w:rsid w:val="0094724D"/>
    <w:rsid w:val="00951AD3"/>
    <w:rsid w:val="009528C9"/>
    <w:rsid w:val="00953EF5"/>
    <w:rsid w:val="00954477"/>
    <w:rsid w:val="00954E13"/>
    <w:rsid w:val="009560A5"/>
    <w:rsid w:val="0095789C"/>
    <w:rsid w:val="009628FB"/>
    <w:rsid w:val="0096452B"/>
    <w:rsid w:val="0097040C"/>
    <w:rsid w:val="009722C6"/>
    <w:rsid w:val="00975377"/>
    <w:rsid w:val="00977D08"/>
    <w:rsid w:val="00981308"/>
    <w:rsid w:val="00982454"/>
    <w:rsid w:val="00983CDC"/>
    <w:rsid w:val="00987A4E"/>
    <w:rsid w:val="009943D5"/>
    <w:rsid w:val="0099533C"/>
    <w:rsid w:val="00997A44"/>
    <w:rsid w:val="009A17FD"/>
    <w:rsid w:val="009A7254"/>
    <w:rsid w:val="009B05C3"/>
    <w:rsid w:val="009B2BF4"/>
    <w:rsid w:val="009B37FC"/>
    <w:rsid w:val="009B41C0"/>
    <w:rsid w:val="009B4386"/>
    <w:rsid w:val="009B47BE"/>
    <w:rsid w:val="009B52A3"/>
    <w:rsid w:val="009B53BA"/>
    <w:rsid w:val="009B609B"/>
    <w:rsid w:val="009B6E42"/>
    <w:rsid w:val="009B6F4E"/>
    <w:rsid w:val="009B74CD"/>
    <w:rsid w:val="009C251D"/>
    <w:rsid w:val="009C3080"/>
    <w:rsid w:val="009C5B99"/>
    <w:rsid w:val="009D09A3"/>
    <w:rsid w:val="009D38DB"/>
    <w:rsid w:val="009D3D0A"/>
    <w:rsid w:val="009D4D86"/>
    <w:rsid w:val="009D54D1"/>
    <w:rsid w:val="009D621D"/>
    <w:rsid w:val="009E12E0"/>
    <w:rsid w:val="009E1F06"/>
    <w:rsid w:val="009E3E15"/>
    <w:rsid w:val="009E52DA"/>
    <w:rsid w:val="009E6478"/>
    <w:rsid w:val="009E6CDB"/>
    <w:rsid w:val="009E7114"/>
    <w:rsid w:val="009E7450"/>
    <w:rsid w:val="009E78F9"/>
    <w:rsid w:val="009F2EB0"/>
    <w:rsid w:val="009F4C1B"/>
    <w:rsid w:val="009F585A"/>
    <w:rsid w:val="009F7B62"/>
    <w:rsid w:val="009F7FC0"/>
    <w:rsid w:val="00A002C8"/>
    <w:rsid w:val="00A03D98"/>
    <w:rsid w:val="00A04A75"/>
    <w:rsid w:val="00A04DB1"/>
    <w:rsid w:val="00A04E49"/>
    <w:rsid w:val="00A05D77"/>
    <w:rsid w:val="00A06C7F"/>
    <w:rsid w:val="00A07F89"/>
    <w:rsid w:val="00A10B7E"/>
    <w:rsid w:val="00A112B4"/>
    <w:rsid w:val="00A11D84"/>
    <w:rsid w:val="00A11E9D"/>
    <w:rsid w:val="00A1502C"/>
    <w:rsid w:val="00A151F4"/>
    <w:rsid w:val="00A1658F"/>
    <w:rsid w:val="00A21A86"/>
    <w:rsid w:val="00A233D2"/>
    <w:rsid w:val="00A25268"/>
    <w:rsid w:val="00A26823"/>
    <w:rsid w:val="00A301C6"/>
    <w:rsid w:val="00A31DC3"/>
    <w:rsid w:val="00A34924"/>
    <w:rsid w:val="00A35F3F"/>
    <w:rsid w:val="00A36A02"/>
    <w:rsid w:val="00A37D1E"/>
    <w:rsid w:val="00A41EB3"/>
    <w:rsid w:val="00A4392F"/>
    <w:rsid w:val="00A4496C"/>
    <w:rsid w:val="00A506BD"/>
    <w:rsid w:val="00A547EA"/>
    <w:rsid w:val="00A54EE3"/>
    <w:rsid w:val="00A57910"/>
    <w:rsid w:val="00A60040"/>
    <w:rsid w:val="00A6268F"/>
    <w:rsid w:val="00A63548"/>
    <w:rsid w:val="00A64033"/>
    <w:rsid w:val="00A66230"/>
    <w:rsid w:val="00A66B33"/>
    <w:rsid w:val="00A70A50"/>
    <w:rsid w:val="00A7226B"/>
    <w:rsid w:val="00A76F7E"/>
    <w:rsid w:val="00A80DEC"/>
    <w:rsid w:val="00A80E57"/>
    <w:rsid w:val="00A834A6"/>
    <w:rsid w:val="00A8526B"/>
    <w:rsid w:val="00A87CAF"/>
    <w:rsid w:val="00A9017A"/>
    <w:rsid w:val="00A928C5"/>
    <w:rsid w:val="00A955A3"/>
    <w:rsid w:val="00A95862"/>
    <w:rsid w:val="00AA2F3E"/>
    <w:rsid w:val="00AA429A"/>
    <w:rsid w:val="00AA5418"/>
    <w:rsid w:val="00AA546B"/>
    <w:rsid w:val="00AA6572"/>
    <w:rsid w:val="00AA72E0"/>
    <w:rsid w:val="00AB02F6"/>
    <w:rsid w:val="00AB02FC"/>
    <w:rsid w:val="00AB0EDD"/>
    <w:rsid w:val="00AB704B"/>
    <w:rsid w:val="00AC1A4E"/>
    <w:rsid w:val="00AC212E"/>
    <w:rsid w:val="00AC3AC5"/>
    <w:rsid w:val="00AC5DC1"/>
    <w:rsid w:val="00AD0763"/>
    <w:rsid w:val="00AD0E16"/>
    <w:rsid w:val="00AD1275"/>
    <w:rsid w:val="00AD30C1"/>
    <w:rsid w:val="00AD56BA"/>
    <w:rsid w:val="00AE06F8"/>
    <w:rsid w:val="00AE0EF4"/>
    <w:rsid w:val="00AE54FA"/>
    <w:rsid w:val="00AE6409"/>
    <w:rsid w:val="00AE703E"/>
    <w:rsid w:val="00AE7A12"/>
    <w:rsid w:val="00AF00B0"/>
    <w:rsid w:val="00AF0106"/>
    <w:rsid w:val="00AF0B6E"/>
    <w:rsid w:val="00AF0C1B"/>
    <w:rsid w:val="00AF1152"/>
    <w:rsid w:val="00AF18C1"/>
    <w:rsid w:val="00AF20DE"/>
    <w:rsid w:val="00AF2C7E"/>
    <w:rsid w:val="00AF365B"/>
    <w:rsid w:val="00AF530A"/>
    <w:rsid w:val="00AF6ADE"/>
    <w:rsid w:val="00AF7A63"/>
    <w:rsid w:val="00B0012C"/>
    <w:rsid w:val="00B0152E"/>
    <w:rsid w:val="00B06F77"/>
    <w:rsid w:val="00B06FD7"/>
    <w:rsid w:val="00B123B7"/>
    <w:rsid w:val="00B1255B"/>
    <w:rsid w:val="00B1350D"/>
    <w:rsid w:val="00B17EA4"/>
    <w:rsid w:val="00B20464"/>
    <w:rsid w:val="00B22FD8"/>
    <w:rsid w:val="00B264E3"/>
    <w:rsid w:val="00B27F1E"/>
    <w:rsid w:val="00B328D8"/>
    <w:rsid w:val="00B35A2B"/>
    <w:rsid w:val="00B3687A"/>
    <w:rsid w:val="00B36BE9"/>
    <w:rsid w:val="00B40CF7"/>
    <w:rsid w:val="00B4118A"/>
    <w:rsid w:val="00B419D1"/>
    <w:rsid w:val="00B42C58"/>
    <w:rsid w:val="00B5298A"/>
    <w:rsid w:val="00B52BC2"/>
    <w:rsid w:val="00B54E13"/>
    <w:rsid w:val="00B602C0"/>
    <w:rsid w:val="00B629A0"/>
    <w:rsid w:val="00B65AA6"/>
    <w:rsid w:val="00B65AF7"/>
    <w:rsid w:val="00B67422"/>
    <w:rsid w:val="00B67F1C"/>
    <w:rsid w:val="00B70918"/>
    <w:rsid w:val="00B70E37"/>
    <w:rsid w:val="00B736AC"/>
    <w:rsid w:val="00B753D4"/>
    <w:rsid w:val="00B76BDC"/>
    <w:rsid w:val="00B7735B"/>
    <w:rsid w:val="00B8244A"/>
    <w:rsid w:val="00B83C00"/>
    <w:rsid w:val="00B8638F"/>
    <w:rsid w:val="00B86900"/>
    <w:rsid w:val="00B86AE1"/>
    <w:rsid w:val="00B91C42"/>
    <w:rsid w:val="00B96D4C"/>
    <w:rsid w:val="00B976A7"/>
    <w:rsid w:val="00BA4F55"/>
    <w:rsid w:val="00BA5960"/>
    <w:rsid w:val="00BA76FB"/>
    <w:rsid w:val="00BA78FB"/>
    <w:rsid w:val="00BB0ED6"/>
    <w:rsid w:val="00BB1C0A"/>
    <w:rsid w:val="00BB25DB"/>
    <w:rsid w:val="00BB4B74"/>
    <w:rsid w:val="00BB5276"/>
    <w:rsid w:val="00BB67A2"/>
    <w:rsid w:val="00BB6FED"/>
    <w:rsid w:val="00BC1DDB"/>
    <w:rsid w:val="00BC4081"/>
    <w:rsid w:val="00BC41B2"/>
    <w:rsid w:val="00BC45B6"/>
    <w:rsid w:val="00BC4AB6"/>
    <w:rsid w:val="00BC4F9E"/>
    <w:rsid w:val="00BC5C9A"/>
    <w:rsid w:val="00BD28ED"/>
    <w:rsid w:val="00BD4E99"/>
    <w:rsid w:val="00BD56AF"/>
    <w:rsid w:val="00BD599C"/>
    <w:rsid w:val="00BE25B4"/>
    <w:rsid w:val="00BE38C7"/>
    <w:rsid w:val="00BF155F"/>
    <w:rsid w:val="00BF3BC3"/>
    <w:rsid w:val="00C05435"/>
    <w:rsid w:val="00C070A2"/>
    <w:rsid w:val="00C10D37"/>
    <w:rsid w:val="00C12938"/>
    <w:rsid w:val="00C136EC"/>
    <w:rsid w:val="00C13792"/>
    <w:rsid w:val="00C17E66"/>
    <w:rsid w:val="00C267EE"/>
    <w:rsid w:val="00C31C6D"/>
    <w:rsid w:val="00C31FF2"/>
    <w:rsid w:val="00C328C9"/>
    <w:rsid w:val="00C328E4"/>
    <w:rsid w:val="00C35DDD"/>
    <w:rsid w:val="00C378C0"/>
    <w:rsid w:val="00C416D1"/>
    <w:rsid w:val="00C43F38"/>
    <w:rsid w:val="00C44645"/>
    <w:rsid w:val="00C461A2"/>
    <w:rsid w:val="00C46E32"/>
    <w:rsid w:val="00C50A3F"/>
    <w:rsid w:val="00C54C57"/>
    <w:rsid w:val="00C6137D"/>
    <w:rsid w:val="00C61540"/>
    <w:rsid w:val="00C6164B"/>
    <w:rsid w:val="00C61B0C"/>
    <w:rsid w:val="00C62362"/>
    <w:rsid w:val="00C626F6"/>
    <w:rsid w:val="00C65FDA"/>
    <w:rsid w:val="00C66135"/>
    <w:rsid w:val="00C66B9D"/>
    <w:rsid w:val="00C67630"/>
    <w:rsid w:val="00C67D4C"/>
    <w:rsid w:val="00C700BA"/>
    <w:rsid w:val="00C706FA"/>
    <w:rsid w:val="00C71752"/>
    <w:rsid w:val="00C7722D"/>
    <w:rsid w:val="00C77ED1"/>
    <w:rsid w:val="00C81038"/>
    <w:rsid w:val="00C81CE0"/>
    <w:rsid w:val="00C81D18"/>
    <w:rsid w:val="00C82744"/>
    <w:rsid w:val="00C836D9"/>
    <w:rsid w:val="00C84131"/>
    <w:rsid w:val="00C84A1E"/>
    <w:rsid w:val="00C85F66"/>
    <w:rsid w:val="00C86070"/>
    <w:rsid w:val="00C91FC7"/>
    <w:rsid w:val="00C92E8B"/>
    <w:rsid w:val="00C95866"/>
    <w:rsid w:val="00CA06A0"/>
    <w:rsid w:val="00CA0937"/>
    <w:rsid w:val="00CA0CFD"/>
    <w:rsid w:val="00CA37C8"/>
    <w:rsid w:val="00CA4EAB"/>
    <w:rsid w:val="00CA64F9"/>
    <w:rsid w:val="00CA76C9"/>
    <w:rsid w:val="00CB5E7D"/>
    <w:rsid w:val="00CB62D1"/>
    <w:rsid w:val="00CC4EE7"/>
    <w:rsid w:val="00CC5403"/>
    <w:rsid w:val="00CC664A"/>
    <w:rsid w:val="00CC76F2"/>
    <w:rsid w:val="00CD4F94"/>
    <w:rsid w:val="00CD5C22"/>
    <w:rsid w:val="00CD7EC8"/>
    <w:rsid w:val="00CE1868"/>
    <w:rsid w:val="00CE363E"/>
    <w:rsid w:val="00CE3ABE"/>
    <w:rsid w:val="00CE7386"/>
    <w:rsid w:val="00CE771D"/>
    <w:rsid w:val="00CE7C21"/>
    <w:rsid w:val="00CF1AE4"/>
    <w:rsid w:val="00CF3B93"/>
    <w:rsid w:val="00CF4DAA"/>
    <w:rsid w:val="00CF5868"/>
    <w:rsid w:val="00D00979"/>
    <w:rsid w:val="00D018CD"/>
    <w:rsid w:val="00D01E3B"/>
    <w:rsid w:val="00D0256A"/>
    <w:rsid w:val="00D02D38"/>
    <w:rsid w:val="00D06EEA"/>
    <w:rsid w:val="00D075FD"/>
    <w:rsid w:val="00D11946"/>
    <w:rsid w:val="00D14F71"/>
    <w:rsid w:val="00D15612"/>
    <w:rsid w:val="00D16A27"/>
    <w:rsid w:val="00D17A89"/>
    <w:rsid w:val="00D201CF"/>
    <w:rsid w:val="00D21619"/>
    <w:rsid w:val="00D220B5"/>
    <w:rsid w:val="00D23B83"/>
    <w:rsid w:val="00D2493E"/>
    <w:rsid w:val="00D31701"/>
    <w:rsid w:val="00D32832"/>
    <w:rsid w:val="00D33C76"/>
    <w:rsid w:val="00D34827"/>
    <w:rsid w:val="00D34AC4"/>
    <w:rsid w:val="00D378B6"/>
    <w:rsid w:val="00D406C3"/>
    <w:rsid w:val="00D44FC6"/>
    <w:rsid w:val="00D451AB"/>
    <w:rsid w:val="00D50991"/>
    <w:rsid w:val="00D53B7F"/>
    <w:rsid w:val="00D547D0"/>
    <w:rsid w:val="00D54F7E"/>
    <w:rsid w:val="00D576AD"/>
    <w:rsid w:val="00D578AF"/>
    <w:rsid w:val="00D60FEC"/>
    <w:rsid w:val="00D63888"/>
    <w:rsid w:val="00D64956"/>
    <w:rsid w:val="00D655B2"/>
    <w:rsid w:val="00D65D7A"/>
    <w:rsid w:val="00D6769A"/>
    <w:rsid w:val="00D6793A"/>
    <w:rsid w:val="00D70060"/>
    <w:rsid w:val="00D70648"/>
    <w:rsid w:val="00D718CC"/>
    <w:rsid w:val="00D7347C"/>
    <w:rsid w:val="00D75A7F"/>
    <w:rsid w:val="00D75F39"/>
    <w:rsid w:val="00D80DCF"/>
    <w:rsid w:val="00D82F12"/>
    <w:rsid w:val="00D84048"/>
    <w:rsid w:val="00D86262"/>
    <w:rsid w:val="00D8729A"/>
    <w:rsid w:val="00D90599"/>
    <w:rsid w:val="00D92912"/>
    <w:rsid w:val="00D9342C"/>
    <w:rsid w:val="00D94210"/>
    <w:rsid w:val="00D944CB"/>
    <w:rsid w:val="00D97EEC"/>
    <w:rsid w:val="00DA59FA"/>
    <w:rsid w:val="00DB295F"/>
    <w:rsid w:val="00DB3428"/>
    <w:rsid w:val="00DB3826"/>
    <w:rsid w:val="00DB47DC"/>
    <w:rsid w:val="00DC16AB"/>
    <w:rsid w:val="00DC33CD"/>
    <w:rsid w:val="00DC5687"/>
    <w:rsid w:val="00DC7CE9"/>
    <w:rsid w:val="00DD182E"/>
    <w:rsid w:val="00DD6102"/>
    <w:rsid w:val="00DD71F1"/>
    <w:rsid w:val="00DE00C5"/>
    <w:rsid w:val="00DE08D1"/>
    <w:rsid w:val="00DE3765"/>
    <w:rsid w:val="00DE3FB5"/>
    <w:rsid w:val="00DF12CE"/>
    <w:rsid w:val="00DF52A8"/>
    <w:rsid w:val="00E00D0A"/>
    <w:rsid w:val="00E01AD5"/>
    <w:rsid w:val="00E05ADB"/>
    <w:rsid w:val="00E07B93"/>
    <w:rsid w:val="00E07E15"/>
    <w:rsid w:val="00E1214E"/>
    <w:rsid w:val="00E13541"/>
    <w:rsid w:val="00E14BB5"/>
    <w:rsid w:val="00E14C0C"/>
    <w:rsid w:val="00E1547E"/>
    <w:rsid w:val="00E1609A"/>
    <w:rsid w:val="00E20542"/>
    <w:rsid w:val="00E23342"/>
    <w:rsid w:val="00E23FFB"/>
    <w:rsid w:val="00E30F5D"/>
    <w:rsid w:val="00E34AE9"/>
    <w:rsid w:val="00E34B88"/>
    <w:rsid w:val="00E40596"/>
    <w:rsid w:val="00E43A02"/>
    <w:rsid w:val="00E44159"/>
    <w:rsid w:val="00E44868"/>
    <w:rsid w:val="00E45EC3"/>
    <w:rsid w:val="00E464D6"/>
    <w:rsid w:val="00E46E63"/>
    <w:rsid w:val="00E47C4F"/>
    <w:rsid w:val="00E541A3"/>
    <w:rsid w:val="00E563F4"/>
    <w:rsid w:val="00E608A2"/>
    <w:rsid w:val="00E62E2A"/>
    <w:rsid w:val="00E637BB"/>
    <w:rsid w:val="00E638C8"/>
    <w:rsid w:val="00E65251"/>
    <w:rsid w:val="00E658DD"/>
    <w:rsid w:val="00E65D7E"/>
    <w:rsid w:val="00E66178"/>
    <w:rsid w:val="00E665F3"/>
    <w:rsid w:val="00E677F4"/>
    <w:rsid w:val="00E715E7"/>
    <w:rsid w:val="00E731B5"/>
    <w:rsid w:val="00E7768C"/>
    <w:rsid w:val="00E80910"/>
    <w:rsid w:val="00E82204"/>
    <w:rsid w:val="00E8377B"/>
    <w:rsid w:val="00E83A77"/>
    <w:rsid w:val="00E84233"/>
    <w:rsid w:val="00E848CE"/>
    <w:rsid w:val="00E869D0"/>
    <w:rsid w:val="00E9231D"/>
    <w:rsid w:val="00E92D80"/>
    <w:rsid w:val="00E938B3"/>
    <w:rsid w:val="00E94273"/>
    <w:rsid w:val="00E948DC"/>
    <w:rsid w:val="00E94A44"/>
    <w:rsid w:val="00E96877"/>
    <w:rsid w:val="00EA1188"/>
    <w:rsid w:val="00EA1486"/>
    <w:rsid w:val="00EA298A"/>
    <w:rsid w:val="00EA6741"/>
    <w:rsid w:val="00EA6E75"/>
    <w:rsid w:val="00EA7E5B"/>
    <w:rsid w:val="00EB0752"/>
    <w:rsid w:val="00EB347C"/>
    <w:rsid w:val="00EB4F05"/>
    <w:rsid w:val="00EB6F4E"/>
    <w:rsid w:val="00EB703D"/>
    <w:rsid w:val="00EC0997"/>
    <w:rsid w:val="00EC20DB"/>
    <w:rsid w:val="00EC2A3B"/>
    <w:rsid w:val="00EC521A"/>
    <w:rsid w:val="00EC6391"/>
    <w:rsid w:val="00ED1C89"/>
    <w:rsid w:val="00ED30F4"/>
    <w:rsid w:val="00EE1FC2"/>
    <w:rsid w:val="00EE22F5"/>
    <w:rsid w:val="00EE705A"/>
    <w:rsid w:val="00EF0296"/>
    <w:rsid w:val="00EF0D02"/>
    <w:rsid w:val="00EF2648"/>
    <w:rsid w:val="00EF5093"/>
    <w:rsid w:val="00EF670C"/>
    <w:rsid w:val="00F00688"/>
    <w:rsid w:val="00F00D6B"/>
    <w:rsid w:val="00F01A18"/>
    <w:rsid w:val="00F03228"/>
    <w:rsid w:val="00F05019"/>
    <w:rsid w:val="00F063BC"/>
    <w:rsid w:val="00F0739C"/>
    <w:rsid w:val="00F12A2A"/>
    <w:rsid w:val="00F152F9"/>
    <w:rsid w:val="00F16686"/>
    <w:rsid w:val="00F171BE"/>
    <w:rsid w:val="00F20680"/>
    <w:rsid w:val="00F210FD"/>
    <w:rsid w:val="00F235F5"/>
    <w:rsid w:val="00F25D2C"/>
    <w:rsid w:val="00F30275"/>
    <w:rsid w:val="00F350B2"/>
    <w:rsid w:val="00F37470"/>
    <w:rsid w:val="00F37E4D"/>
    <w:rsid w:val="00F415F3"/>
    <w:rsid w:val="00F42313"/>
    <w:rsid w:val="00F42682"/>
    <w:rsid w:val="00F43750"/>
    <w:rsid w:val="00F444ED"/>
    <w:rsid w:val="00F45BA7"/>
    <w:rsid w:val="00F45BE9"/>
    <w:rsid w:val="00F46394"/>
    <w:rsid w:val="00F46F4A"/>
    <w:rsid w:val="00F536E3"/>
    <w:rsid w:val="00F53A2E"/>
    <w:rsid w:val="00F53D5A"/>
    <w:rsid w:val="00F54E79"/>
    <w:rsid w:val="00F567DB"/>
    <w:rsid w:val="00F60788"/>
    <w:rsid w:val="00F60D41"/>
    <w:rsid w:val="00F60E89"/>
    <w:rsid w:val="00F64267"/>
    <w:rsid w:val="00F655FE"/>
    <w:rsid w:val="00F710CB"/>
    <w:rsid w:val="00F734AD"/>
    <w:rsid w:val="00F73E11"/>
    <w:rsid w:val="00F76618"/>
    <w:rsid w:val="00F76E42"/>
    <w:rsid w:val="00F771C6"/>
    <w:rsid w:val="00F80A98"/>
    <w:rsid w:val="00F820F7"/>
    <w:rsid w:val="00F85E04"/>
    <w:rsid w:val="00F90EDC"/>
    <w:rsid w:val="00F94D0C"/>
    <w:rsid w:val="00F94D6D"/>
    <w:rsid w:val="00F96C89"/>
    <w:rsid w:val="00F977E9"/>
    <w:rsid w:val="00F97F7D"/>
    <w:rsid w:val="00FA0333"/>
    <w:rsid w:val="00FA19D5"/>
    <w:rsid w:val="00FA3EE8"/>
    <w:rsid w:val="00FB08B5"/>
    <w:rsid w:val="00FB161C"/>
    <w:rsid w:val="00FB3E2C"/>
    <w:rsid w:val="00FB5321"/>
    <w:rsid w:val="00FB679E"/>
    <w:rsid w:val="00FC19B9"/>
    <w:rsid w:val="00FC6B0B"/>
    <w:rsid w:val="00FC71B5"/>
    <w:rsid w:val="00FD00A5"/>
    <w:rsid w:val="00FD1696"/>
    <w:rsid w:val="00FD1B93"/>
    <w:rsid w:val="00FD399B"/>
    <w:rsid w:val="00FD4B0F"/>
    <w:rsid w:val="00FD6410"/>
    <w:rsid w:val="00FD6C0E"/>
    <w:rsid w:val="00FE111A"/>
    <w:rsid w:val="00FE397C"/>
    <w:rsid w:val="00FF0824"/>
    <w:rsid w:val="00FF0C09"/>
    <w:rsid w:val="00FF24FD"/>
    <w:rsid w:val="00FF287C"/>
    <w:rsid w:val="01D53BF1"/>
    <w:rsid w:val="023769F0"/>
    <w:rsid w:val="02AE18E4"/>
    <w:rsid w:val="03555483"/>
    <w:rsid w:val="037244BA"/>
    <w:rsid w:val="038A31DA"/>
    <w:rsid w:val="039C00B5"/>
    <w:rsid w:val="0440312C"/>
    <w:rsid w:val="044756A4"/>
    <w:rsid w:val="054D2E98"/>
    <w:rsid w:val="060A7D56"/>
    <w:rsid w:val="06996E8B"/>
    <w:rsid w:val="07683FB9"/>
    <w:rsid w:val="07F75D86"/>
    <w:rsid w:val="087C30FA"/>
    <w:rsid w:val="08ED14A7"/>
    <w:rsid w:val="09293C1C"/>
    <w:rsid w:val="09615B6C"/>
    <w:rsid w:val="09A52AE9"/>
    <w:rsid w:val="0A3869E9"/>
    <w:rsid w:val="0A6D241B"/>
    <w:rsid w:val="0AE966EA"/>
    <w:rsid w:val="0B416FFB"/>
    <w:rsid w:val="0C4E2350"/>
    <w:rsid w:val="0DDD1262"/>
    <w:rsid w:val="0DE77C19"/>
    <w:rsid w:val="0DFA2D2D"/>
    <w:rsid w:val="0F433C3E"/>
    <w:rsid w:val="1024223F"/>
    <w:rsid w:val="10284C2D"/>
    <w:rsid w:val="1142094C"/>
    <w:rsid w:val="115C2004"/>
    <w:rsid w:val="1186163F"/>
    <w:rsid w:val="11D32976"/>
    <w:rsid w:val="12981977"/>
    <w:rsid w:val="12E801A4"/>
    <w:rsid w:val="13383132"/>
    <w:rsid w:val="13751BAD"/>
    <w:rsid w:val="13C82EBE"/>
    <w:rsid w:val="1559199D"/>
    <w:rsid w:val="165815CE"/>
    <w:rsid w:val="166E1F31"/>
    <w:rsid w:val="167F131F"/>
    <w:rsid w:val="16B54D41"/>
    <w:rsid w:val="176A18E7"/>
    <w:rsid w:val="17A4662F"/>
    <w:rsid w:val="17F95E5B"/>
    <w:rsid w:val="180331D7"/>
    <w:rsid w:val="183B1452"/>
    <w:rsid w:val="18AF483D"/>
    <w:rsid w:val="18BC3B28"/>
    <w:rsid w:val="18D92F68"/>
    <w:rsid w:val="194303E2"/>
    <w:rsid w:val="19A76CA6"/>
    <w:rsid w:val="19B56BE1"/>
    <w:rsid w:val="1A5B5BFF"/>
    <w:rsid w:val="1A6751A7"/>
    <w:rsid w:val="1ABA1ACF"/>
    <w:rsid w:val="1AE64EFC"/>
    <w:rsid w:val="1AF00031"/>
    <w:rsid w:val="1B8A1D89"/>
    <w:rsid w:val="1C4F1138"/>
    <w:rsid w:val="1CC27A52"/>
    <w:rsid w:val="1D3148FA"/>
    <w:rsid w:val="1E5369D0"/>
    <w:rsid w:val="1E7155CE"/>
    <w:rsid w:val="1F425E6E"/>
    <w:rsid w:val="1F6D4C3F"/>
    <w:rsid w:val="2019175E"/>
    <w:rsid w:val="2039253E"/>
    <w:rsid w:val="20545333"/>
    <w:rsid w:val="2135074A"/>
    <w:rsid w:val="21531723"/>
    <w:rsid w:val="2218316E"/>
    <w:rsid w:val="22295698"/>
    <w:rsid w:val="22573259"/>
    <w:rsid w:val="228710B6"/>
    <w:rsid w:val="229C6306"/>
    <w:rsid w:val="22AC5767"/>
    <w:rsid w:val="22BA129A"/>
    <w:rsid w:val="22CC3892"/>
    <w:rsid w:val="23993393"/>
    <w:rsid w:val="24034DE3"/>
    <w:rsid w:val="24637B8A"/>
    <w:rsid w:val="2490316E"/>
    <w:rsid w:val="249E6943"/>
    <w:rsid w:val="258A1DEF"/>
    <w:rsid w:val="2707038B"/>
    <w:rsid w:val="27824053"/>
    <w:rsid w:val="278C5C50"/>
    <w:rsid w:val="27932534"/>
    <w:rsid w:val="279B4181"/>
    <w:rsid w:val="28A00F8B"/>
    <w:rsid w:val="28F40A0F"/>
    <w:rsid w:val="293A1577"/>
    <w:rsid w:val="29EB2400"/>
    <w:rsid w:val="2A92224B"/>
    <w:rsid w:val="2B0E5D23"/>
    <w:rsid w:val="2B265B6F"/>
    <w:rsid w:val="2B2B0704"/>
    <w:rsid w:val="2BD61589"/>
    <w:rsid w:val="2C6C4A11"/>
    <w:rsid w:val="2CFE2CA8"/>
    <w:rsid w:val="2DCE60F9"/>
    <w:rsid w:val="2DED32A2"/>
    <w:rsid w:val="2E750BE6"/>
    <w:rsid w:val="2EF3161D"/>
    <w:rsid w:val="2FDC60BB"/>
    <w:rsid w:val="300E502E"/>
    <w:rsid w:val="302F713F"/>
    <w:rsid w:val="311F09D1"/>
    <w:rsid w:val="314A106A"/>
    <w:rsid w:val="31AA388D"/>
    <w:rsid w:val="31CA7C8B"/>
    <w:rsid w:val="32252923"/>
    <w:rsid w:val="324D1A64"/>
    <w:rsid w:val="3273395F"/>
    <w:rsid w:val="32D06D32"/>
    <w:rsid w:val="32EB76C8"/>
    <w:rsid w:val="32ED17CB"/>
    <w:rsid w:val="32F5220F"/>
    <w:rsid w:val="33811DDB"/>
    <w:rsid w:val="349B6E1C"/>
    <w:rsid w:val="34B57D8E"/>
    <w:rsid w:val="34DB088F"/>
    <w:rsid w:val="35C33D77"/>
    <w:rsid w:val="362D154D"/>
    <w:rsid w:val="378850C5"/>
    <w:rsid w:val="378C293C"/>
    <w:rsid w:val="389338B6"/>
    <w:rsid w:val="38E271B9"/>
    <w:rsid w:val="38E64C99"/>
    <w:rsid w:val="3907171C"/>
    <w:rsid w:val="399D07E0"/>
    <w:rsid w:val="39DA5F07"/>
    <w:rsid w:val="3BD902FC"/>
    <w:rsid w:val="3CA13FDB"/>
    <w:rsid w:val="3CB60D47"/>
    <w:rsid w:val="3CE70AF1"/>
    <w:rsid w:val="3E0C0425"/>
    <w:rsid w:val="3E1675C3"/>
    <w:rsid w:val="3F757C2F"/>
    <w:rsid w:val="3FDB0AC5"/>
    <w:rsid w:val="3FF35E0E"/>
    <w:rsid w:val="408A448D"/>
    <w:rsid w:val="41390199"/>
    <w:rsid w:val="418F1B67"/>
    <w:rsid w:val="41FD11BE"/>
    <w:rsid w:val="42132798"/>
    <w:rsid w:val="42B9333F"/>
    <w:rsid w:val="450A19BC"/>
    <w:rsid w:val="450D4049"/>
    <w:rsid w:val="454D10C6"/>
    <w:rsid w:val="471C7D7D"/>
    <w:rsid w:val="47480ED2"/>
    <w:rsid w:val="47ED017B"/>
    <w:rsid w:val="48384D06"/>
    <w:rsid w:val="49716D0F"/>
    <w:rsid w:val="49F406AC"/>
    <w:rsid w:val="49FB1D0F"/>
    <w:rsid w:val="4A200DBC"/>
    <w:rsid w:val="4A432082"/>
    <w:rsid w:val="4ADE278F"/>
    <w:rsid w:val="4AE25A4B"/>
    <w:rsid w:val="4BCF3F8F"/>
    <w:rsid w:val="4BDE7171"/>
    <w:rsid w:val="4C105905"/>
    <w:rsid w:val="4C2A705C"/>
    <w:rsid w:val="4C687565"/>
    <w:rsid w:val="4CD40C43"/>
    <w:rsid w:val="4D225F85"/>
    <w:rsid w:val="4D8B184A"/>
    <w:rsid w:val="4DA90201"/>
    <w:rsid w:val="4E3E45A9"/>
    <w:rsid w:val="4E4A0DAB"/>
    <w:rsid w:val="4E5B0AF6"/>
    <w:rsid w:val="4E7A10E8"/>
    <w:rsid w:val="4E9D6DDC"/>
    <w:rsid w:val="4EAD4664"/>
    <w:rsid w:val="4F896A42"/>
    <w:rsid w:val="507C1E50"/>
    <w:rsid w:val="507C3DA7"/>
    <w:rsid w:val="50BA3B99"/>
    <w:rsid w:val="50E721B3"/>
    <w:rsid w:val="51142088"/>
    <w:rsid w:val="511E4CB5"/>
    <w:rsid w:val="51525BF9"/>
    <w:rsid w:val="51C1088E"/>
    <w:rsid w:val="52EF55E0"/>
    <w:rsid w:val="5310666D"/>
    <w:rsid w:val="532821C7"/>
    <w:rsid w:val="53507507"/>
    <w:rsid w:val="535E42E1"/>
    <w:rsid w:val="53682217"/>
    <w:rsid w:val="53F30897"/>
    <w:rsid w:val="54B90F7D"/>
    <w:rsid w:val="55BD4875"/>
    <w:rsid w:val="55F57B4C"/>
    <w:rsid w:val="5648485A"/>
    <w:rsid w:val="56CB31E9"/>
    <w:rsid w:val="57362D58"/>
    <w:rsid w:val="57831802"/>
    <w:rsid w:val="583033CD"/>
    <w:rsid w:val="58316A21"/>
    <w:rsid w:val="58454FF8"/>
    <w:rsid w:val="584B45E2"/>
    <w:rsid w:val="58855E5A"/>
    <w:rsid w:val="589D73FA"/>
    <w:rsid w:val="58C83E84"/>
    <w:rsid w:val="5A2054AE"/>
    <w:rsid w:val="5A8A292F"/>
    <w:rsid w:val="5AC517D0"/>
    <w:rsid w:val="5ADA37AF"/>
    <w:rsid w:val="5B3679FB"/>
    <w:rsid w:val="5B710B9F"/>
    <w:rsid w:val="5B801D76"/>
    <w:rsid w:val="5C286CED"/>
    <w:rsid w:val="5D1E22F1"/>
    <w:rsid w:val="5F310398"/>
    <w:rsid w:val="5FE96A57"/>
    <w:rsid w:val="6007229E"/>
    <w:rsid w:val="60EE69CE"/>
    <w:rsid w:val="61F05C7A"/>
    <w:rsid w:val="62AD7E76"/>
    <w:rsid w:val="62AF7E63"/>
    <w:rsid w:val="62F20366"/>
    <w:rsid w:val="631E31A6"/>
    <w:rsid w:val="637473AF"/>
    <w:rsid w:val="638618D2"/>
    <w:rsid w:val="63D75F8D"/>
    <w:rsid w:val="648D794E"/>
    <w:rsid w:val="650C4517"/>
    <w:rsid w:val="659A2704"/>
    <w:rsid w:val="66F8450D"/>
    <w:rsid w:val="67E22CBB"/>
    <w:rsid w:val="68154BD8"/>
    <w:rsid w:val="68386205"/>
    <w:rsid w:val="68B9481F"/>
    <w:rsid w:val="68FA07EA"/>
    <w:rsid w:val="6A1952CF"/>
    <w:rsid w:val="6A5103A2"/>
    <w:rsid w:val="6B8C12EE"/>
    <w:rsid w:val="6B8D6867"/>
    <w:rsid w:val="6BAD12EE"/>
    <w:rsid w:val="6BF87B65"/>
    <w:rsid w:val="6C6A6303"/>
    <w:rsid w:val="6D09595F"/>
    <w:rsid w:val="6D48513C"/>
    <w:rsid w:val="6DF605F0"/>
    <w:rsid w:val="6E441CB5"/>
    <w:rsid w:val="6EB05738"/>
    <w:rsid w:val="6EEC7C3C"/>
    <w:rsid w:val="6F1C4F13"/>
    <w:rsid w:val="6F6E3D26"/>
    <w:rsid w:val="705C33D8"/>
    <w:rsid w:val="70BB79E1"/>
    <w:rsid w:val="70DA42FD"/>
    <w:rsid w:val="7143200A"/>
    <w:rsid w:val="71E83D54"/>
    <w:rsid w:val="725A001C"/>
    <w:rsid w:val="73246275"/>
    <w:rsid w:val="73695978"/>
    <w:rsid w:val="73715076"/>
    <w:rsid w:val="7436113E"/>
    <w:rsid w:val="747F19C5"/>
    <w:rsid w:val="74A27930"/>
    <w:rsid w:val="74A64944"/>
    <w:rsid w:val="74BA2260"/>
    <w:rsid w:val="74BE4D5F"/>
    <w:rsid w:val="74C90910"/>
    <w:rsid w:val="75C612F4"/>
    <w:rsid w:val="75C81725"/>
    <w:rsid w:val="760B7881"/>
    <w:rsid w:val="767174B1"/>
    <w:rsid w:val="76854D0B"/>
    <w:rsid w:val="76C2509E"/>
    <w:rsid w:val="78F74EDC"/>
    <w:rsid w:val="79110836"/>
    <w:rsid w:val="79A908B1"/>
    <w:rsid w:val="7A245C38"/>
    <w:rsid w:val="7A396538"/>
    <w:rsid w:val="7AE71CCE"/>
    <w:rsid w:val="7AEB021E"/>
    <w:rsid w:val="7AEF324B"/>
    <w:rsid w:val="7B37683D"/>
    <w:rsid w:val="7BF36E52"/>
    <w:rsid w:val="7CEE3CBA"/>
    <w:rsid w:val="7CF07E20"/>
    <w:rsid w:val="7D8E0949"/>
    <w:rsid w:val="7DF1025C"/>
    <w:rsid w:val="7F3846A7"/>
    <w:rsid w:val="7F5B2A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仿宋" w:hAnsi="仿宋" w:eastAsia="仿宋" w:cs="Times New Roman"/>
      <w:color w:val="000000"/>
      <w:kern w:val="2"/>
      <w:sz w:val="32"/>
      <w:szCs w:val="32"/>
      <w:lang w:val="en-US" w:eastAsia="zh-CN" w:bidi="ar-SA"/>
    </w:rPr>
  </w:style>
  <w:style w:type="paragraph" w:styleId="2">
    <w:name w:val="heading 1"/>
    <w:basedOn w:val="1"/>
    <w:next w:val="1"/>
    <w:link w:val="69"/>
    <w:qFormat/>
    <w:uiPriority w:val="0"/>
    <w:pPr>
      <w:keepNext/>
      <w:keepLines/>
      <w:spacing w:before="340" w:after="330" w:line="576" w:lineRule="auto"/>
      <w:outlineLvl w:val="0"/>
    </w:pPr>
    <w:rPr>
      <w:b/>
      <w:kern w:val="44"/>
      <w:sz w:val="44"/>
      <w:szCs w:val="20"/>
    </w:rPr>
  </w:style>
  <w:style w:type="paragraph" w:styleId="3">
    <w:name w:val="heading 2"/>
    <w:basedOn w:val="1"/>
    <w:next w:val="1"/>
    <w:link w:val="70"/>
    <w:qFormat/>
    <w:uiPriority w:val="0"/>
    <w:pPr>
      <w:keepNext/>
      <w:keepLines/>
      <w:tabs>
        <w:tab w:val="left" w:pos="567"/>
      </w:tabs>
      <w:spacing w:before="260" w:after="260" w:line="413" w:lineRule="auto"/>
      <w:ind w:left="567" w:hanging="567"/>
      <w:outlineLvl w:val="1"/>
    </w:pPr>
    <w:rPr>
      <w:rFonts w:ascii="Arial" w:hAnsi="Arial" w:eastAsia="黑体"/>
      <w:b/>
      <w:szCs w:val="20"/>
    </w:rPr>
  </w:style>
  <w:style w:type="paragraph" w:styleId="4">
    <w:name w:val="heading 3"/>
    <w:basedOn w:val="1"/>
    <w:next w:val="1"/>
    <w:link w:val="71"/>
    <w:qFormat/>
    <w:uiPriority w:val="0"/>
    <w:pPr>
      <w:keepNext/>
      <w:keepLines/>
      <w:spacing w:before="260" w:after="260" w:line="416" w:lineRule="auto"/>
      <w:outlineLvl w:val="2"/>
    </w:pPr>
    <w:rPr>
      <w:b/>
      <w:bCs/>
      <w:lang w:val="zh-CN"/>
    </w:rPr>
  </w:style>
  <w:style w:type="paragraph" w:styleId="5">
    <w:name w:val="heading 4"/>
    <w:basedOn w:val="1"/>
    <w:next w:val="1"/>
    <w:link w:val="72"/>
    <w:qFormat/>
    <w:uiPriority w:val="0"/>
    <w:pPr>
      <w:keepNext/>
      <w:keepLines/>
      <w:tabs>
        <w:tab w:val="left" w:pos="0"/>
      </w:tabs>
      <w:spacing w:before="280" w:after="290" w:line="374" w:lineRule="auto"/>
      <w:ind w:left="851" w:hanging="851"/>
      <w:outlineLvl w:val="3"/>
    </w:pPr>
    <w:rPr>
      <w:rFonts w:ascii="Arial" w:hAnsi="Arial" w:eastAsia="黑体"/>
      <w:b/>
      <w:sz w:val="28"/>
      <w:szCs w:val="20"/>
    </w:rPr>
  </w:style>
  <w:style w:type="paragraph" w:styleId="6">
    <w:name w:val="heading 5"/>
    <w:basedOn w:val="1"/>
    <w:next w:val="1"/>
    <w:link w:val="73"/>
    <w:qFormat/>
    <w:uiPriority w:val="0"/>
    <w:pPr>
      <w:keepNext/>
      <w:keepLines/>
      <w:spacing w:before="280" w:after="290" w:line="376" w:lineRule="auto"/>
      <w:outlineLvl w:val="4"/>
    </w:pPr>
    <w:rPr>
      <w:b/>
      <w:bCs/>
      <w:sz w:val="28"/>
      <w:szCs w:val="28"/>
      <w:lang w:val="zh-CN"/>
    </w:rPr>
  </w:style>
  <w:style w:type="paragraph" w:styleId="7">
    <w:name w:val="heading 6"/>
    <w:basedOn w:val="1"/>
    <w:next w:val="1"/>
    <w:link w:val="74"/>
    <w:qFormat/>
    <w:uiPriority w:val="0"/>
    <w:pPr>
      <w:keepNext/>
      <w:keepLines/>
      <w:spacing w:before="240" w:after="64" w:line="320" w:lineRule="auto"/>
      <w:outlineLvl w:val="5"/>
    </w:pPr>
    <w:rPr>
      <w:rFonts w:ascii="Arial" w:hAnsi="Arial" w:eastAsia="黑体"/>
      <w:b/>
      <w:bCs/>
      <w:sz w:val="24"/>
      <w:lang w:val="zh-CN"/>
    </w:rPr>
  </w:style>
  <w:style w:type="paragraph" w:styleId="8">
    <w:name w:val="heading 7"/>
    <w:basedOn w:val="1"/>
    <w:next w:val="1"/>
    <w:link w:val="75"/>
    <w:qFormat/>
    <w:uiPriority w:val="0"/>
    <w:pPr>
      <w:keepNext/>
      <w:keepLines/>
      <w:spacing w:before="240" w:after="64" w:line="320" w:lineRule="auto"/>
      <w:outlineLvl w:val="6"/>
    </w:pPr>
    <w:rPr>
      <w:b/>
      <w:bCs/>
      <w:sz w:val="24"/>
      <w:lang w:val="zh-CN"/>
    </w:rPr>
  </w:style>
  <w:style w:type="paragraph" w:styleId="9">
    <w:name w:val="heading 8"/>
    <w:basedOn w:val="1"/>
    <w:next w:val="1"/>
    <w:link w:val="76"/>
    <w:autoRedefine/>
    <w:qFormat/>
    <w:uiPriority w:val="0"/>
    <w:pPr>
      <w:keepNext/>
      <w:keepLines/>
      <w:spacing w:before="240" w:after="64" w:line="320" w:lineRule="auto"/>
      <w:outlineLvl w:val="7"/>
    </w:pPr>
    <w:rPr>
      <w:rFonts w:ascii="Arial" w:hAnsi="Arial" w:eastAsia="黑体"/>
      <w:sz w:val="24"/>
      <w:lang w:val="zh-CN"/>
    </w:rPr>
  </w:style>
  <w:style w:type="paragraph" w:styleId="10">
    <w:name w:val="heading 9"/>
    <w:basedOn w:val="1"/>
    <w:next w:val="1"/>
    <w:link w:val="77"/>
    <w:qFormat/>
    <w:uiPriority w:val="0"/>
    <w:pPr>
      <w:keepNext/>
      <w:keepLines/>
      <w:spacing w:before="240" w:after="64" w:line="320" w:lineRule="auto"/>
      <w:outlineLvl w:val="8"/>
    </w:pPr>
    <w:rPr>
      <w:rFonts w:ascii="Arial" w:hAnsi="Arial" w:eastAsia="黑体"/>
      <w:szCs w:val="21"/>
      <w:lang w:val="zh-CN"/>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0"/>
    <w:pPr>
      <w:ind w:left="1260"/>
      <w:jc w:val="left"/>
    </w:pPr>
    <w:rPr>
      <w:rFonts w:ascii="Calibri" w:hAnsi="Calibri"/>
      <w:sz w:val="18"/>
      <w:szCs w:val="20"/>
    </w:rPr>
  </w:style>
  <w:style w:type="paragraph" w:styleId="12">
    <w:name w:val="Normal Indent"/>
    <w:basedOn w:val="1"/>
    <w:qFormat/>
    <w:uiPriority w:val="0"/>
    <w:pPr>
      <w:spacing w:line="360" w:lineRule="auto"/>
      <w:ind w:firstLine="200" w:firstLineChars="200"/>
    </w:pPr>
    <w:rPr>
      <w:szCs w:val="20"/>
    </w:rPr>
  </w:style>
  <w:style w:type="paragraph" w:styleId="13">
    <w:name w:val="caption"/>
    <w:basedOn w:val="1"/>
    <w:next w:val="1"/>
    <w:qFormat/>
    <w:uiPriority w:val="0"/>
    <w:rPr>
      <w:rFonts w:ascii="Cambria" w:hAnsi="Cambria" w:eastAsia="黑体"/>
      <w:sz w:val="20"/>
      <w:szCs w:val="20"/>
    </w:rPr>
  </w:style>
  <w:style w:type="paragraph" w:styleId="14">
    <w:name w:val="Document Map"/>
    <w:basedOn w:val="1"/>
    <w:link w:val="109"/>
    <w:qFormat/>
    <w:uiPriority w:val="0"/>
    <w:rPr>
      <w:rFonts w:ascii="宋体"/>
      <w:sz w:val="18"/>
      <w:szCs w:val="20"/>
      <w:lang w:val="zh-CN"/>
    </w:rPr>
  </w:style>
  <w:style w:type="paragraph" w:styleId="15">
    <w:name w:val="annotation text"/>
    <w:basedOn w:val="1"/>
    <w:link w:val="87"/>
    <w:qFormat/>
    <w:uiPriority w:val="0"/>
    <w:pPr>
      <w:jc w:val="left"/>
    </w:pPr>
    <w:rPr>
      <w:szCs w:val="20"/>
      <w:lang w:val="zh-CN"/>
    </w:rPr>
  </w:style>
  <w:style w:type="paragraph" w:styleId="16">
    <w:name w:val="Body Text"/>
    <w:basedOn w:val="1"/>
    <w:link w:val="67"/>
    <w:qFormat/>
    <w:uiPriority w:val="0"/>
    <w:pPr>
      <w:spacing w:after="120"/>
    </w:pPr>
  </w:style>
  <w:style w:type="paragraph" w:styleId="17">
    <w:name w:val="Body Text Indent"/>
    <w:basedOn w:val="1"/>
    <w:link w:val="127"/>
    <w:qFormat/>
    <w:uiPriority w:val="0"/>
    <w:pPr>
      <w:spacing w:line="360" w:lineRule="auto"/>
      <w:ind w:left="515"/>
    </w:pPr>
    <w:rPr>
      <w:sz w:val="24"/>
      <w:szCs w:val="20"/>
      <w:lang w:val="zh-CN"/>
    </w:rPr>
  </w:style>
  <w:style w:type="paragraph" w:styleId="18">
    <w:name w:val="toc 5"/>
    <w:basedOn w:val="1"/>
    <w:next w:val="1"/>
    <w:qFormat/>
    <w:uiPriority w:val="0"/>
    <w:pPr>
      <w:ind w:left="840"/>
      <w:jc w:val="left"/>
    </w:pPr>
    <w:rPr>
      <w:rFonts w:ascii="Calibri" w:hAnsi="Calibri"/>
      <w:sz w:val="18"/>
      <w:szCs w:val="20"/>
    </w:rPr>
  </w:style>
  <w:style w:type="paragraph" w:styleId="19">
    <w:name w:val="toc 3"/>
    <w:basedOn w:val="1"/>
    <w:next w:val="1"/>
    <w:qFormat/>
    <w:uiPriority w:val="39"/>
    <w:pPr>
      <w:ind w:left="420"/>
      <w:jc w:val="left"/>
    </w:pPr>
    <w:rPr>
      <w:rFonts w:ascii="Calibri" w:hAnsi="Calibri"/>
      <w:i/>
      <w:sz w:val="20"/>
      <w:szCs w:val="20"/>
    </w:rPr>
  </w:style>
  <w:style w:type="paragraph" w:styleId="20">
    <w:name w:val="Plain Text"/>
    <w:basedOn w:val="1"/>
    <w:link w:val="161"/>
    <w:qFormat/>
    <w:uiPriority w:val="0"/>
    <w:rPr>
      <w:rFonts w:ascii="宋体" w:hAnsi="Courier New"/>
      <w:szCs w:val="21"/>
      <w:lang w:val="zh-CN"/>
    </w:rPr>
  </w:style>
  <w:style w:type="paragraph" w:styleId="21">
    <w:name w:val="toc 8"/>
    <w:basedOn w:val="1"/>
    <w:next w:val="1"/>
    <w:qFormat/>
    <w:uiPriority w:val="0"/>
    <w:pPr>
      <w:ind w:left="1470"/>
      <w:jc w:val="left"/>
    </w:pPr>
    <w:rPr>
      <w:rFonts w:ascii="Calibri" w:hAnsi="Calibri"/>
      <w:sz w:val="18"/>
      <w:szCs w:val="20"/>
    </w:rPr>
  </w:style>
  <w:style w:type="paragraph" w:styleId="22">
    <w:name w:val="Date"/>
    <w:basedOn w:val="1"/>
    <w:next w:val="1"/>
    <w:link w:val="116"/>
    <w:qFormat/>
    <w:uiPriority w:val="0"/>
    <w:pPr>
      <w:ind w:left="2500" w:leftChars="2500"/>
    </w:pPr>
    <w:rPr>
      <w:szCs w:val="20"/>
    </w:rPr>
  </w:style>
  <w:style w:type="paragraph" w:styleId="23">
    <w:name w:val="Balloon Text"/>
    <w:basedOn w:val="1"/>
    <w:link w:val="114"/>
    <w:qFormat/>
    <w:uiPriority w:val="0"/>
    <w:rPr>
      <w:sz w:val="18"/>
      <w:szCs w:val="20"/>
      <w:lang w:val="zh-CN"/>
    </w:rPr>
  </w:style>
  <w:style w:type="paragraph" w:styleId="24">
    <w:name w:val="footer"/>
    <w:basedOn w:val="1"/>
    <w:link w:val="43"/>
    <w:qFormat/>
    <w:uiPriority w:val="99"/>
    <w:pPr>
      <w:tabs>
        <w:tab w:val="center" w:pos="4153"/>
        <w:tab w:val="right" w:pos="8306"/>
      </w:tabs>
      <w:snapToGrid w:val="0"/>
      <w:jc w:val="left"/>
    </w:pPr>
    <w:rPr>
      <w:sz w:val="18"/>
      <w:szCs w:val="18"/>
    </w:rPr>
  </w:style>
  <w:style w:type="paragraph" w:styleId="25">
    <w:name w:val="header"/>
    <w:basedOn w:val="1"/>
    <w:link w:val="44"/>
    <w:qFormat/>
    <w:uiPriority w:val="0"/>
    <w:pPr>
      <w:pBdr>
        <w:bottom w:val="single" w:color="auto" w:sz="6" w:space="1"/>
      </w:pBdr>
      <w:tabs>
        <w:tab w:val="center" w:pos="4153"/>
        <w:tab w:val="right" w:pos="8306"/>
      </w:tabs>
      <w:snapToGrid w:val="0"/>
    </w:pPr>
    <w:rPr>
      <w:sz w:val="18"/>
      <w:szCs w:val="18"/>
    </w:rPr>
  </w:style>
  <w:style w:type="paragraph" w:styleId="26">
    <w:name w:val="toc 1"/>
    <w:basedOn w:val="1"/>
    <w:next w:val="1"/>
    <w:qFormat/>
    <w:uiPriority w:val="39"/>
    <w:pPr>
      <w:tabs>
        <w:tab w:val="right" w:leader="dot" w:pos="8296"/>
      </w:tabs>
      <w:spacing w:line="420" w:lineRule="auto"/>
    </w:pPr>
    <w:rPr>
      <w:szCs w:val="20"/>
    </w:rPr>
  </w:style>
  <w:style w:type="paragraph" w:styleId="27">
    <w:name w:val="toc 4"/>
    <w:basedOn w:val="1"/>
    <w:next w:val="1"/>
    <w:qFormat/>
    <w:uiPriority w:val="0"/>
    <w:pPr>
      <w:ind w:left="630"/>
      <w:jc w:val="left"/>
    </w:pPr>
    <w:rPr>
      <w:rFonts w:ascii="Calibri" w:hAnsi="Calibri"/>
      <w:sz w:val="18"/>
      <w:szCs w:val="20"/>
    </w:rPr>
  </w:style>
  <w:style w:type="paragraph" w:styleId="28">
    <w:name w:val="toc 6"/>
    <w:basedOn w:val="1"/>
    <w:next w:val="1"/>
    <w:autoRedefine/>
    <w:qFormat/>
    <w:uiPriority w:val="0"/>
    <w:pPr>
      <w:ind w:left="1050"/>
      <w:jc w:val="left"/>
    </w:pPr>
    <w:rPr>
      <w:rFonts w:ascii="Calibri" w:hAnsi="Calibri"/>
      <w:sz w:val="18"/>
      <w:szCs w:val="20"/>
    </w:rPr>
  </w:style>
  <w:style w:type="paragraph" w:styleId="29">
    <w:name w:val="toc 2"/>
    <w:basedOn w:val="1"/>
    <w:next w:val="1"/>
    <w:qFormat/>
    <w:uiPriority w:val="39"/>
    <w:pPr>
      <w:ind w:left="200" w:leftChars="200"/>
    </w:pPr>
    <w:rPr>
      <w:szCs w:val="20"/>
    </w:rPr>
  </w:style>
  <w:style w:type="paragraph" w:styleId="30">
    <w:name w:val="toc 9"/>
    <w:basedOn w:val="1"/>
    <w:next w:val="1"/>
    <w:qFormat/>
    <w:uiPriority w:val="0"/>
    <w:pPr>
      <w:ind w:left="1680"/>
      <w:jc w:val="left"/>
    </w:pPr>
    <w:rPr>
      <w:rFonts w:ascii="Calibri" w:hAnsi="Calibri"/>
      <w:sz w:val="18"/>
      <w:szCs w:val="20"/>
    </w:rPr>
  </w:style>
  <w:style w:type="paragraph" w:styleId="31">
    <w:name w:val="HTML Preformatted"/>
    <w:basedOn w:val="1"/>
    <w:link w:val="130"/>
    <w:qFormat/>
    <w:uiPriority w:val="0"/>
    <w:rPr>
      <w:rFonts w:ascii="Courier New" w:hAnsi="Courier New"/>
      <w:sz w:val="20"/>
      <w:szCs w:val="20"/>
      <w:lang w:val="zh-CN"/>
    </w:rPr>
  </w:style>
  <w:style w:type="paragraph" w:styleId="32">
    <w:name w:val="Normal (Web)"/>
    <w:basedOn w:val="1"/>
    <w:autoRedefine/>
    <w:qFormat/>
    <w:uiPriority w:val="99"/>
    <w:pPr>
      <w:spacing w:before="100" w:beforeAutospacing="1" w:after="100" w:afterAutospacing="1"/>
      <w:jc w:val="left"/>
    </w:pPr>
    <w:rPr>
      <w:kern w:val="0"/>
      <w:sz w:val="24"/>
    </w:rPr>
  </w:style>
  <w:style w:type="paragraph" w:styleId="33">
    <w:name w:val="Title"/>
    <w:basedOn w:val="1"/>
    <w:link w:val="128"/>
    <w:qFormat/>
    <w:uiPriority w:val="0"/>
    <w:pPr>
      <w:spacing w:before="240" w:after="60"/>
      <w:outlineLvl w:val="0"/>
    </w:pPr>
    <w:rPr>
      <w:rFonts w:ascii="Arial" w:hAnsi="Arial"/>
      <w:b/>
      <w:szCs w:val="20"/>
    </w:rPr>
  </w:style>
  <w:style w:type="paragraph" w:styleId="34">
    <w:name w:val="annotation subject"/>
    <w:basedOn w:val="15"/>
    <w:next w:val="15"/>
    <w:link w:val="96"/>
    <w:qFormat/>
    <w:uiPriority w:val="0"/>
    <w:rPr>
      <w:b/>
    </w:rPr>
  </w:style>
  <w:style w:type="table" w:styleId="36">
    <w:name w:val="Table Grid"/>
    <w:basedOn w:val="35"/>
    <w:autoRedefine/>
    <w:qFormat/>
    <w:uiPriority w:val="0"/>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8">
    <w:name w:val="Strong"/>
    <w:basedOn w:val="37"/>
    <w:qFormat/>
    <w:uiPriority w:val="0"/>
    <w:rPr>
      <w:b/>
    </w:rPr>
  </w:style>
  <w:style w:type="character" w:styleId="39">
    <w:name w:val="page number"/>
    <w:basedOn w:val="37"/>
    <w:autoRedefine/>
    <w:qFormat/>
    <w:uiPriority w:val="0"/>
  </w:style>
  <w:style w:type="character" w:styleId="40">
    <w:name w:val="FollowedHyperlink"/>
    <w:qFormat/>
    <w:uiPriority w:val="0"/>
    <w:rPr>
      <w:color w:val="800080"/>
      <w:u w:val="single"/>
    </w:rPr>
  </w:style>
  <w:style w:type="character" w:styleId="41">
    <w:name w:val="Hyperlink"/>
    <w:unhideWhenUsed/>
    <w:qFormat/>
    <w:uiPriority w:val="99"/>
    <w:rPr>
      <w:color w:val="0000FF"/>
      <w:u w:val="single"/>
    </w:rPr>
  </w:style>
  <w:style w:type="character" w:styleId="42">
    <w:name w:val="annotation reference"/>
    <w:qFormat/>
    <w:uiPriority w:val="0"/>
    <w:rPr>
      <w:sz w:val="21"/>
    </w:rPr>
  </w:style>
  <w:style w:type="character" w:customStyle="1" w:styleId="43">
    <w:name w:val="页脚 字符"/>
    <w:link w:val="24"/>
    <w:qFormat/>
    <w:uiPriority w:val="99"/>
    <w:rPr>
      <w:kern w:val="2"/>
      <w:sz w:val="18"/>
      <w:szCs w:val="18"/>
    </w:rPr>
  </w:style>
  <w:style w:type="character" w:customStyle="1" w:styleId="44">
    <w:name w:val="页眉 字符"/>
    <w:link w:val="25"/>
    <w:qFormat/>
    <w:uiPriority w:val="0"/>
    <w:rPr>
      <w:kern w:val="2"/>
      <w:sz w:val="18"/>
      <w:szCs w:val="18"/>
    </w:rPr>
  </w:style>
  <w:style w:type="character" w:customStyle="1" w:styleId="45">
    <w:name w:val="font01"/>
    <w:autoRedefine/>
    <w:qFormat/>
    <w:uiPriority w:val="0"/>
    <w:rPr>
      <w:rFonts w:hint="eastAsia" w:ascii="宋体" w:hAnsi="宋体" w:eastAsia="宋体" w:cs="宋体"/>
      <w:color w:val="000000"/>
      <w:sz w:val="24"/>
      <w:szCs w:val="24"/>
      <w:u w:val="none"/>
    </w:rPr>
  </w:style>
  <w:style w:type="character" w:customStyle="1" w:styleId="46">
    <w:name w:val="段 Char"/>
    <w:link w:val="47"/>
    <w:qFormat/>
    <w:uiPriority w:val="0"/>
    <w:rPr>
      <w:rFonts w:ascii="宋体"/>
      <w:sz w:val="21"/>
      <w:lang w:val="en-US" w:eastAsia="zh-CN" w:bidi="ar-SA"/>
    </w:rPr>
  </w:style>
  <w:style w:type="paragraph" w:customStyle="1" w:styleId="47">
    <w:name w:val="段"/>
    <w:link w:val="46"/>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48">
    <w:name w:val="注×：（正文）"/>
    <w:autoRedefine/>
    <w:qFormat/>
    <w:uiPriority w:val="0"/>
    <w:pPr>
      <w:numPr>
        <w:ilvl w:val="0"/>
        <w:numId w:val="1"/>
      </w:numPr>
      <w:jc w:val="both"/>
    </w:pPr>
    <w:rPr>
      <w:rFonts w:ascii="宋体" w:hAnsi="Times New Roman" w:eastAsia="宋体" w:cs="Times New Roman"/>
      <w:sz w:val="18"/>
      <w:szCs w:val="18"/>
      <w:lang w:val="en-US" w:eastAsia="zh-CN" w:bidi="ar-SA"/>
    </w:rPr>
  </w:style>
  <w:style w:type="paragraph" w:customStyle="1" w:styleId="49">
    <w:name w:val="正文图标题"/>
    <w:next w:val="47"/>
    <w:qFormat/>
    <w:uiPriority w:val="0"/>
    <w:pPr>
      <w:numPr>
        <w:ilvl w:val="0"/>
        <w:numId w:val="2"/>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50">
    <w:name w:val="正文表标题"/>
    <w:next w:val="47"/>
    <w:qFormat/>
    <w:uiPriority w:val="0"/>
    <w:pPr>
      <w:spacing w:before="156" w:beforeLines="50" w:after="156" w:afterLines="50"/>
      <w:jc w:val="center"/>
    </w:pPr>
    <w:rPr>
      <w:rFonts w:ascii="黑体" w:hAnsi="Times New Roman" w:eastAsia="黑体" w:cs="Times New Roman"/>
      <w:sz w:val="21"/>
      <w:lang w:val="en-US" w:eastAsia="zh-CN" w:bidi="ar-SA"/>
    </w:rPr>
  </w:style>
  <w:style w:type="paragraph" w:customStyle="1" w:styleId="51">
    <w:name w:val="三级条标题"/>
    <w:basedOn w:val="52"/>
    <w:next w:val="47"/>
    <w:qFormat/>
    <w:uiPriority w:val="0"/>
    <w:pPr>
      <w:numPr>
        <w:ilvl w:val="3"/>
      </w:numPr>
      <w:outlineLvl w:val="4"/>
    </w:pPr>
  </w:style>
  <w:style w:type="paragraph" w:customStyle="1" w:styleId="52">
    <w:name w:val="二级条标题"/>
    <w:basedOn w:val="53"/>
    <w:next w:val="47"/>
    <w:qFormat/>
    <w:uiPriority w:val="0"/>
    <w:pPr>
      <w:numPr>
        <w:ilvl w:val="2"/>
      </w:numPr>
      <w:spacing w:before="50" w:after="50"/>
      <w:outlineLvl w:val="3"/>
    </w:pPr>
  </w:style>
  <w:style w:type="paragraph" w:customStyle="1" w:styleId="53">
    <w:name w:val="一级条标题"/>
    <w:next w:val="47"/>
    <w:autoRedefine/>
    <w:qFormat/>
    <w:uiPriority w:val="0"/>
    <w:pPr>
      <w:numPr>
        <w:ilvl w:val="1"/>
        <w:numId w:val="3"/>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54">
    <w:name w:val="五级条标题"/>
    <w:basedOn w:val="55"/>
    <w:next w:val="47"/>
    <w:autoRedefine/>
    <w:qFormat/>
    <w:uiPriority w:val="0"/>
    <w:pPr>
      <w:numPr>
        <w:ilvl w:val="5"/>
      </w:numPr>
      <w:outlineLvl w:val="6"/>
    </w:pPr>
  </w:style>
  <w:style w:type="paragraph" w:customStyle="1" w:styleId="55">
    <w:name w:val="四级条标题"/>
    <w:basedOn w:val="51"/>
    <w:next w:val="47"/>
    <w:autoRedefine/>
    <w:qFormat/>
    <w:uiPriority w:val="0"/>
    <w:pPr>
      <w:numPr>
        <w:ilvl w:val="4"/>
      </w:numPr>
      <w:outlineLvl w:val="5"/>
    </w:pPr>
  </w:style>
  <w:style w:type="paragraph" w:customStyle="1" w:styleId="56">
    <w:name w:val="四级无"/>
    <w:basedOn w:val="55"/>
    <w:autoRedefine/>
    <w:qFormat/>
    <w:uiPriority w:val="0"/>
    <w:pPr>
      <w:numPr>
        <w:numId w:val="1"/>
      </w:numPr>
      <w:tabs>
        <w:tab w:val="left" w:pos="180"/>
      </w:tabs>
      <w:spacing w:before="0" w:beforeLines="0" w:after="0" w:afterLines="0"/>
    </w:pPr>
    <w:rPr>
      <w:rFonts w:ascii="宋体" w:hAnsi="Calibri" w:eastAsia="宋体"/>
    </w:rPr>
  </w:style>
  <w:style w:type="paragraph" w:customStyle="1" w:styleId="57">
    <w:name w:val="正文公式编号制表符"/>
    <w:basedOn w:val="47"/>
    <w:next w:val="47"/>
    <w:autoRedefine/>
    <w:qFormat/>
    <w:uiPriority w:val="0"/>
    <w:pPr>
      <w:ind w:firstLine="0" w:firstLineChars="0"/>
    </w:pPr>
    <w:rPr>
      <w:rFonts w:hAnsi="Calibri"/>
    </w:rPr>
  </w:style>
  <w:style w:type="paragraph" w:customStyle="1" w:styleId="58">
    <w:name w:val="一级无"/>
    <w:basedOn w:val="53"/>
    <w:qFormat/>
    <w:uiPriority w:val="0"/>
    <w:pPr>
      <w:spacing w:before="0" w:beforeLines="0" w:after="0" w:afterLines="0"/>
    </w:pPr>
    <w:rPr>
      <w:rFonts w:ascii="宋体" w:eastAsia="宋体"/>
    </w:rPr>
  </w:style>
  <w:style w:type="paragraph" w:customStyle="1" w:styleId="59">
    <w:name w:val="图表脚注说明"/>
    <w:basedOn w:val="1"/>
    <w:autoRedefine/>
    <w:qFormat/>
    <w:uiPriority w:val="0"/>
    <w:pPr>
      <w:numPr>
        <w:ilvl w:val="0"/>
        <w:numId w:val="4"/>
      </w:numPr>
    </w:pPr>
    <w:rPr>
      <w:rFonts w:ascii="宋体"/>
      <w:sz w:val="18"/>
      <w:szCs w:val="18"/>
    </w:rPr>
  </w:style>
  <w:style w:type="paragraph" w:customStyle="1" w:styleId="60">
    <w:name w:val="章标题"/>
    <w:next w:val="47"/>
    <w:qFormat/>
    <w:uiPriority w:val="0"/>
    <w:pPr>
      <w:numPr>
        <w:ilvl w:val="0"/>
        <w:numId w:val="3"/>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61">
    <w:name w:val="附录图标号"/>
    <w:basedOn w:val="1"/>
    <w:qFormat/>
    <w:uiPriority w:val="0"/>
    <w:pPr>
      <w:keepNext/>
      <w:pageBreakBefore/>
      <w:widowControl/>
      <w:numPr>
        <w:ilvl w:val="0"/>
        <w:numId w:val="5"/>
      </w:numPr>
      <w:spacing w:line="14" w:lineRule="exact"/>
      <w:ind w:left="0" w:firstLine="363"/>
      <w:outlineLvl w:val="0"/>
    </w:pPr>
    <w:rPr>
      <w:color w:val="FFFFFF"/>
    </w:rPr>
  </w:style>
  <w:style w:type="paragraph" w:customStyle="1" w:styleId="62">
    <w:name w:val="三级无"/>
    <w:basedOn w:val="51"/>
    <w:qFormat/>
    <w:uiPriority w:val="0"/>
    <w:pPr>
      <w:numPr>
        <w:numId w:val="1"/>
      </w:numPr>
      <w:tabs>
        <w:tab w:val="left" w:pos="180"/>
      </w:tabs>
      <w:spacing w:before="0" w:beforeLines="0" w:after="0" w:afterLines="0"/>
    </w:pPr>
    <w:rPr>
      <w:rFonts w:ascii="宋体" w:hAnsi="Calibri" w:eastAsia="宋体"/>
    </w:rPr>
  </w:style>
  <w:style w:type="paragraph" w:customStyle="1" w:styleId="63">
    <w:name w:val="注："/>
    <w:next w:val="47"/>
    <w:autoRedefine/>
    <w:qFormat/>
    <w:uiPriority w:val="0"/>
    <w:pPr>
      <w:widowControl w:val="0"/>
      <w:numPr>
        <w:ilvl w:val="0"/>
        <w:numId w:val="6"/>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64">
    <w:name w:val="二级无"/>
    <w:basedOn w:val="52"/>
    <w:qFormat/>
    <w:uiPriority w:val="0"/>
    <w:pPr>
      <w:numPr>
        <w:numId w:val="1"/>
      </w:numPr>
      <w:tabs>
        <w:tab w:val="left" w:pos="180"/>
      </w:tabs>
      <w:spacing w:before="0" w:beforeLines="0" w:after="0" w:afterLines="0"/>
      <w:ind w:left="0"/>
    </w:pPr>
    <w:rPr>
      <w:rFonts w:ascii="宋体" w:hAnsi="Calibri" w:eastAsia="宋体"/>
    </w:rPr>
  </w:style>
  <w:style w:type="paragraph" w:customStyle="1" w:styleId="65">
    <w:name w:val="附录图标题"/>
    <w:basedOn w:val="1"/>
    <w:next w:val="47"/>
    <w:qFormat/>
    <w:uiPriority w:val="0"/>
    <w:pPr>
      <w:numPr>
        <w:ilvl w:val="1"/>
        <w:numId w:val="5"/>
      </w:numPr>
      <w:tabs>
        <w:tab w:val="left" w:pos="363"/>
      </w:tabs>
      <w:spacing w:before="50" w:beforeLines="50" w:after="50" w:afterLines="50"/>
      <w:ind w:left="0" w:firstLine="0"/>
    </w:pPr>
    <w:rPr>
      <w:rFonts w:ascii="黑体" w:eastAsia="黑体"/>
      <w:szCs w:val="21"/>
    </w:rPr>
  </w:style>
  <w:style w:type="paragraph" w:customStyle="1" w:styleId="66">
    <w:name w:val="其他发布日期"/>
    <w:basedOn w:val="1"/>
    <w:autoRedefine/>
    <w:qFormat/>
    <w:uiPriority w:val="0"/>
    <w:pPr>
      <w:framePr w:w="3997" w:h="471" w:hRule="exact" w:vSpace="181" w:wrap="around" w:vAnchor="page" w:hAnchor="page" w:x="1419" w:y="14097" w:anchorLock="1"/>
      <w:widowControl/>
      <w:numPr>
        <w:ilvl w:val="0"/>
        <w:numId w:val="7"/>
      </w:numPr>
      <w:jc w:val="left"/>
    </w:pPr>
    <w:rPr>
      <w:rFonts w:eastAsia="黑体"/>
      <w:kern w:val="0"/>
      <w:sz w:val="28"/>
      <w:szCs w:val="20"/>
    </w:rPr>
  </w:style>
  <w:style w:type="character" w:customStyle="1" w:styleId="67">
    <w:name w:val="正文文本 字符"/>
    <w:link w:val="16"/>
    <w:qFormat/>
    <w:uiPriority w:val="0"/>
    <w:rPr>
      <w:kern w:val="2"/>
      <w:sz w:val="21"/>
      <w:szCs w:val="24"/>
    </w:rPr>
  </w:style>
  <w:style w:type="paragraph" w:styleId="68">
    <w:name w:val="List Paragraph"/>
    <w:basedOn w:val="1"/>
    <w:autoRedefine/>
    <w:qFormat/>
    <w:uiPriority w:val="0"/>
    <w:pPr>
      <w:ind w:firstLine="420" w:firstLineChars="200"/>
    </w:pPr>
  </w:style>
  <w:style w:type="character" w:customStyle="1" w:styleId="69">
    <w:name w:val="标题 1 字符"/>
    <w:basedOn w:val="37"/>
    <w:link w:val="2"/>
    <w:qFormat/>
    <w:uiPriority w:val="0"/>
    <w:rPr>
      <w:b/>
      <w:kern w:val="44"/>
      <w:sz w:val="44"/>
    </w:rPr>
  </w:style>
  <w:style w:type="character" w:customStyle="1" w:styleId="70">
    <w:name w:val="标题 2 字符"/>
    <w:basedOn w:val="37"/>
    <w:link w:val="3"/>
    <w:autoRedefine/>
    <w:qFormat/>
    <w:uiPriority w:val="0"/>
    <w:rPr>
      <w:rFonts w:ascii="Arial" w:hAnsi="Arial" w:eastAsia="黑体"/>
      <w:b/>
      <w:kern w:val="2"/>
      <w:sz w:val="32"/>
    </w:rPr>
  </w:style>
  <w:style w:type="character" w:customStyle="1" w:styleId="71">
    <w:name w:val="标题 3 字符"/>
    <w:basedOn w:val="37"/>
    <w:link w:val="4"/>
    <w:autoRedefine/>
    <w:qFormat/>
    <w:uiPriority w:val="0"/>
    <w:rPr>
      <w:b/>
      <w:bCs/>
      <w:kern w:val="2"/>
      <w:sz w:val="32"/>
      <w:szCs w:val="32"/>
      <w:lang w:val="zh-CN" w:eastAsia="zh-CN"/>
    </w:rPr>
  </w:style>
  <w:style w:type="character" w:customStyle="1" w:styleId="72">
    <w:name w:val="标题 4 字符"/>
    <w:basedOn w:val="37"/>
    <w:link w:val="5"/>
    <w:autoRedefine/>
    <w:qFormat/>
    <w:uiPriority w:val="0"/>
    <w:rPr>
      <w:rFonts w:ascii="Arial" w:hAnsi="Arial" w:eastAsia="黑体"/>
      <w:b/>
      <w:kern w:val="2"/>
      <w:sz w:val="28"/>
    </w:rPr>
  </w:style>
  <w:style w:type="character" w:customStyle="1" w:styleId="73">
    <w:name w:val="标题 5 字符"/>
    <w:basedOn w:val="37"/>
    <w:link w:val="6"/>
    <w:autoRedefine/>
    <w:qFormat/>
    <w:uiPriority w:val="0"/>
    <w:rPr>
      <w:b/>
      <w:bCs/>
      <w:kern w:val="2"/>
      <w:sz w:val="28"/>
      <w:szCs w:val="28"/>
      <w:lang w:val="zh-CN" w:eastAsia="zh-CN"/>
    </w:rPr>
  </w:style>
  <w:style w:type="character" w:customStyle="1" w:styleId="74">
    <w:name w:val="标题 6 字符"/>
    <w:basedOn w:val="37"/>
    <w:link w:val="7"/>
    <w:autoRedefine/>
    <w:qFormat/>
    <w:uiPriority w:val="0"/>
    <w:rPr>
      <w:rFonts w:ascii="Arial" w:hAnsi="Arial" w:eastAsia="黑体"/>
      <w:b/>
      <w:bCs/>
      <w:kern w:val="2"/>
      <w:sz w:val="24"/>
      <w:szCs w:val="24"/>
      <w:lang w:val="zh-CN" w:eastAsia="zh-CN"/>
    </w:rPr>
  </w:style>
  <w:style w:type="character" w:customStyle="1" w:styleId="75">
    <w:name w:val="标题 7 字符"/>
    <w:basedOn w:val="37"/>
    <w:link w:val="8"/>
    <w:autoRedefine/>
    <w:qFormat/>
    <w:uiPriority w:val="0"/>
    <w:rPr>
      <w:b/>
      <w:bCs/>
      <w:kern w:val="2"/>
      <w:sz w:val="24"/>
      <w:szCs w:val="24"/>
      <w:lang w:val="zh-CN" w:eastAsia="zh-CN"/>
    </w:rPr>
  </w:style>
  <w:style w:type="character" w:customStyle="1" w:styleId="76">
    <w:name w:val="标题 8 字符"/>
    <w:basedOn w:val="37"/>
    <w:link w:val="9"/>
    <w:autoRedefine/>
    <w:qFormat/>
    <w:uiPriority w:val="0"/>
    <w:rPr>
      <w:rFonts w:ascii="Arial" w:hAnsi="Arial" w:eastAsia="黑体"/>
      <w:kern w:val="2"/>
      <w:sz w:val="24"/>
      <w:szCs w:val="24"/>
      <w:lang w:val="zh-CN" w:eastAsia="zh-CN"/>
    </w:rPr>
  </w:style>
  <w:style w:type="character" w:customStyle="1" w:styleId="77">
    <w:name w:val="标题 9 字符"/>
    <w:basedOn w:val="37"/>
    <w:link w:val="10"/>
    <w:autoRedefine/>
    <w:qFormat/>
    <w:uiPriority w:val="0"/>
    <w:rPr>
      <w:rFonts w:ascii="Arial" w:hAnsi="Arial" w:eastAsia="黑体"/>
      <w:kern w:val="2"/>
      <w:sz w:val="21"/>
      <w:szCs w:val="21"/>
      <w:lang w:val="zh-CN" w:eastAsia="zh-CN"/>
    </w:rPr>
  </w:style>
  <w:style w:type="character" w:customStyle="1" w:styleId="78">
    <w:name w:val="font51"/>
    <w:autoRedefine/>
    <w:qFormat/>
    <w:uiPriority w:val="0"/>
    <w:rPr>
      <w:rFonts w:ascii="Times New Roman" w:hAnsi="Times New Roman"/>
      <w:color w:val="000000"/>
      <w:sz w:val="18"/>
      <w:u w:val="none"/>
    </w:rPr>
  </w:style>
  <w:style w:type="character" w:customStyle="1" w:styleId="79">
    <w:name w:val="样式 宋体 三号 下划线"/>
    <w:autoRedefine/>
    <w:qFormat/>
    <w:uiPriority w:val="0"/>
    <w:rPr>
      <w:rFonts w:ascii="Times New Roman" w:hAnsi="Times New Roman" w:eastAsia="宋体"/>
      <w:sz w:val="32"/>
      <w:u w:val="single"/>
    </w:rPr>
  </w:style>
  <w:style w:type="character" w:customStyle="1" w:styleId="80">
    <w:name w:val="font11"/>
    <w:autoRedefine/>
    <w:qFormat/>
    <w:uiPriority w:val="0"/>
    <w:rPr>
      <w:rFonts w:ascii="宋体" w:eastAsia="宋体"/>
      <w:color w:val="008080"/>
      <w:sz w:val="18"/>
      <w:u w:val="none"/>
    </w:rPr>
  </w:style>
  <w:style w:type="character" w:customStyle="1" w:styleId="81">
    <w:name w:val="font41"/>
    <w:autoRedefine/>
    <w:qFormat/>
    <w:uiPriority w:val="0"/>
    <w:rPr>
      <w:rFonts w:ascii="宋体" w:eastAsia="宋体"/>
      <w:color w:val="000000"/>
      <w:sz w:val="18"/>
      <w:u w:val="none"/>
    </w:rPr>
  </w:style>
  <w:style w:type="character" w:customStyle="1" w:styleId="82">
    <w:name w:val="font31"/>
    <w:autoRedefine/>
    <w:qFormat/>
    <w:uiPriority w:val="0"/>
    <w:rPr>
      <w:rFonts w:ascii="宋体" w:eastAsia="宋体"/>
      <w:color w:val="000000"/>
      <w:sz w:val="18"/>
      <w:u w:val="none"/>
    </w:rPr>
  </w:style>
  <w:style w:type="character" w:customStyle="1" w:styleId="83">
    <w:name w:val="font21"/>
    <w:qFormat/>
    <w:uiPriority w:val="0"/>
    <w:rPr>
      <w:rFonts w:ascii="Times New Roman" w:hAnsi="Times New Roman"/>
      <w:color w:val="008080"/>
      <w:sz w:val="18"/>
      <w:u w:val="none"/>
    </w:rPr>
  </w:style>
  <w:style w:type="character" w:customStyle="1" w:styleId="84">
    <w:name w:val="font61"/>
    <w:autoRedefine/>
    <w:qFormat/>
    <w:uiPriority w:val="0"/>
    <w:rPr>
      <w:rFonts w:ascii="Times New Roman" w:hAnsi="Times New Roman"/>
      <w:color w:val="000000"/>
      <w:sz w:val="18"/>
      <w:u w:val="none"/>
    </w:rPr>
  </w:style>
  <w:style w:type="paragraph" w:customStyle="1" w:styleId="85">
    <w:name w:val="xl83"/>
    <w:basedOn w:val="1"/>
    <w:autoRedefine/>
    <w:qFormat/>
    <w:uiPriority w:val="0"/>
    <w:pPr>
      <w:widowControl/>
      <w:pBdr>
        <w:bottom w:val="single" w:color="000000" w:sz="8" w:space="0"/>
        <w:right w:val="single" w:color="000000" w:sz="8" w:space="0"/>
      </w:pBdr>
      <w:spacing w:before="100" w:beforeAutospacing="1" w:after="100" w:afterAutospacing="1"/>
    </w:pPr>
    <w:rPr>
      <w:kern w:val="0"/>
      <w:sz w:val="22"/>
      <w:szCs w:val="20"/>
    </w:rPr>
  </w:style>
  <w:style w:type="paragraph" w:customStyle="1" w:styleId="86">
    <w:name w:val="Char1"/>
    <w:basedOn w:val="1"/>
    <w:autoRedefine/>
    <w:qFormat/>
    <w:uiPriority w:val="0"/>
    <w:pPr>
      <w:tabs>
        <w:tab w:val="left" w:pos="789"/>
      </w:tabs>
      <w:ind w:left="789" w:hanging="480"/>
    </w:pPr>
    <w:rPr>
      <w:sz w:val="24"/>
      <w:szCs w:val="20"/>
    </w:rPr>
  </w:style>
  <w:style w:type="character" w:customStyle="1" w:styleId="87">
    <w:name w:val="批注文字 字符"/>
    <w:basedOn w:val="37"/>
    <w:link w:val="15"/>
    <w:autoRedefine/>
    <w:qFormat/>
    <w:uiPriority w:val="0"/>
    <w:rPr>
      <w:kern w:val="2"/>
      <w:sz w:val="21"/>
      <w:lang w:val="zh-CN" w:eastAsia="zh-CN"/>
    </w:rPr>
  </w:style>
  <w:style w:type="paragraph" w:customStyle="1" w:styleId="88">
    <w:name w:val="xl82"/>
    <w:basedOn w:val="1"/>
    <w:autoRedefine/>
    <w:qFormat/>
    <w:uiPriority w:val="0"/>
    <w:pPr>
      <w:widowControl/>
      <w:pBdr>
        <w:bottom w:val="single" w:color="000000" w:sz="8" w:space="0"/>
        <w:right w:val="single" w:color="000000" w:sz="8" w:space="0"/>
      </w:pBdr>
      <w:spacing w:before="100" w:beforeAutospacing="1" w:after="100" w:afterAutospacing="1"/>
    </w:pPr>
    <w:rPr>
      <w:kern w:val="0"/>
      <w:sz w:val="22"/>
      <w:szCs w:val="20"/>
    </w:rPr>
  </w:style>
  <w:style w:type="paragraph" w:customStyle="1" w:styleId="89">
    <w:name w:val="编号正文缩进"/>
    <w:basedOn w:val="1"/>
    <w:autoRedefine/>
    <w:qFormat/>
    <w:uiPriority w:val="0"/>
    <w:pPr>
      <w:tabs>
        <w:tab w:val="left" w:pos="198"/>
      </w:tabs>
      <w:ind w:firstLine="454"/>
    </w:pPr>
    <w:rPr>
      <w:szCs w:val="20"/>
    </w:rPr>
  </w:style>
  <w:style w:type="paragraph" w:customStyle="1" w:styleId="90">
    <w:name w:val="标准称谓"/>
    <w:next w:val="1"/>
    <w:autoRedefine/>
    <w:qFormat/>
    <w:uiPriority w:val="0"/>
    <w:pPr>
      <w:widowControl w:val="0"/>
      <w:kinsoku w:val="0"/>
      <w:overflowPunct w:val="0"/>
      <w:autoSpaceDE w:val="0"/>
      <w:autoSpaceDN w:val="0"/>
      <w:spacing w:line="0" w:lineRule="atLeast"/>
      <w:jc w:val="distribute"/>
    </w:pPr>
    <w:rPr>
      <w:rFonts w:ascii="宋体" w:hAnsi="Times New Roman" w:eastAsia="宋体" w:cs="Times New Roman"/>
      <w:b/>
      <w:spacing w:val="20"/>
      <w:w w:val="148"/>
      <w:sz w:val="52"/>
      <w:lang w:val="en-US" w:eastAsia="zh-CN" w:bidi="ar-SA"/>
    </w:rPr>
  </w:style>
  <w:style w:type="paragraph" w:customStyle="1" w:styleId="91">
    <w:name w:val="font6"/>
    <w:basedOn w:val="1"/>
    <w:autoRedefine/>
    <w:qFormat/>
    <w:uiPriority w:val="0"/>
    <w:pPr>
      <w:widowControl/>
      <w:spacing w:before="100" w:beforeAutospacing="1" w:after="100" w:afterAutospacing="1"/>
      <w:jc w:val="left"/>
    </w:pPr>
    <w:rPr>
      <w:kern w:val="0"/>
      <w:sz w:val="18"/>
      <w:szCs w:val="20"/>
    </w:rPr>
  </w:style>
  <w:style w:type="paragraph" w:customStyle="1" w:styleId="92">
    <w:name w:val="xl70"/>
    <w:basedOn w:val="1"/>
    <w:qFormat/>
    <w:uiPriority w:val="0"/>
    <w:pPr>
      <w:widowControl/>
      <w:pBdr>
        <w:bottom w:val="single" w:color="000000" w:sz="8" w:space="0"/>
        <w:right w:val="single" w:color="000000" w:sz="8" w:space="0"/>
      </w:pBdr>
      <w:spacing w:before="100" w:beforeAutospacing="1" w:after="100" w:afterAutospacing="1"/>
    </w:pPr>
    <w:rPr>
      <w:kern w:val="0"/>
      <w:sz w:val="22"/>
      <w:szCs w:val="20"/>
    </w:rPr>
  </w:style>
  <w:style w:type="paragraph" w:customStyle="1" w:styleId="93">
    <w:name w:val="Char1 Char Char Char"/>
    <w:basedOn w:val="1"/>
    <w:autoRedefine/>
    <w:qFormat/>
    <w:uiPriority w:val="0"/>
    <w:pPr>
      <w:tabs>
        <w:tab w:val="left" w:pos="789"/>
      </w:tabs>
      <w:ind w:left="789" w:hanging="480"/>
    </w:pPr>
    <w:rPr>
      <w:sz w:val="24"/>
      <w:szCs w:val="20"/>
    </w:rPr>
  </w:style>
  <w:style w:type="paragraph" w:customStyle="1" w:styleId="94">
    <w:name w:val="Char Char Char Char Char Char Char"/>
    <w:basedOn w:val="1"/>
    <w:autoRedefine/>
    <w:qFormat/>
    <w:uiPriority w:val="0"/>
    <w:pPr>
      <w:widowControl/>
      <w:spacing w:after="160" w:line="240" w:lineRule="exact"/>
      <w:jc w:val="left"/>
    </w:pPr>
    <w:rPr>
      <w:rFonts w:ascii="Arial" w:hAnsi="Arial" w:eastAsia="Times New Roman"/>
      <w:b/>
      <w:kern w:val="0"/>
      <w:sz w:val="24"/>
      <w:szCs w:val="20"/>
      <w:lang w:eastAsia="en-US"/>
    </w:rPr>
  </w:style>
  <w:style w:type="paragraph" w:customStyle="1" w:styleId="95">
    <w:name w:val="xl81"/>
    <w:basedOn w:val="1"/>
    <w:autoRedefine/>
    <w:qFormat/>
    <w:uiPriority w:val="0"/>
    <w:pPr>
      <w:widowControl/>
      <w:pBdr>
        <w:bottom w:val="single" w:color="000000" w:sz="8" w:space="0"/>
        <w:right w:val="single" w:color="000000" w:sz="8" w:space="0"/>
      </w:pBdr>
      <w:spacing w:before="100" w:beforeAutospacing="1" w:after="100" w:afterAutospacing="1"/>
    </w:pPr>
    <w:rPr>
      <w:kern w:val="0"/>
      <w:sz w:val="22"/>
      <w:szCs w:val="20"/>
    </w:rPr>
  </w:style>
  <w:style w:type="character" w:customStyle="1" w:styleId="96">
    <w:name w:val="批注主题 字符"/>
    <w:basedOn w:val="87"/>
    <w:link w:val="34"/>
    <w:autoRedefine/>
    <w:qFormat/>
    <w:uiPriority w:val="0"/>
    <w:rPr>
      <w:b/>
      <w:kern w:val="2"/>
      <w:sz w:val="21"/>
      <w:lang w:val="zh-CN" w:eastAsia="zh-CN"/>
    </w:rPr>
  </w:style>
  <w:style w:type="paragraph" w:customStyle="1" w:styleId="97">
    <w:name w:val="font5"/>
    <w:basedOn w:val="1"/>
    <w:autoRedefine/>
    <w:qFormat/>
    <w:uiPriority w:val="0"/>
    <w:pPr>
      <w:widowControl/>
      <w:spacing w:before="100" w:beforeAutospacing="1" w:after="100" w:afterAutospacing="1"/>
      <w:jc w:val="left"/>
    </w:pPr>
    <w:rPr>
      <w:rFonts w:ascii="宋体"/>
      <w:kern w:val="0"/>
      <w:sz w:val="18"/>
      <w:szCs w:val="20"/>
    </w:rPr>
  </w:style>
  <w:style w:type="paragraph" w:customStyle="1" w:styleId="98">
    <w:name w:val="xl69"/>
    <w:basedOn w:val="1"/>
    <w:autoRedefine/>
    <w:qFormat/>
    <w:uiPriority w:val="0"/>
    <w:pPr>
      <w:widowControl/>
      <w:pBdr>
        <w:bottom w:val="single" w:color="000000" w:sz="8" w:space="0"/>
        <w:right w:val="single" w:color="000000" w:sz="8" w:space="0"/>
      </w:pBdr>
      <w:spacing w:before="100" w:beforeAutospacing="1" w:after="100" w:afterAutospacing="1"/>
      <w:jc w:val="left"/>
    </w:pPr>
    <w:rPr>
      <w:kern w:val="0"/>
      <w:sz w:val="22"/>
      <w:szCs w:val="20"/>
    </w:rPr>
  </w:style>
  <w:style w:type="paragraph" w:customStyle="1" w:styleId="99">
    <w:name w:val="xl80"/>
    <w:basedOn w:val="1"/>
    <w:autoRedefine/>
    <w:qFormat/>
    <w:uiPriority w:val="0"/>
    <w:pPr>
      <w:widowControl/>
      <w:pBdr>
        <w:bottom w:val="single" w:color="000000" w:sz="8" w:space="0"/>
        <w:right w:val="single" w:color="000000" w:sz="8" w:space="0"/>
      </w:pBdr>
      <w:spacing w:before="100" w:beforeAutospacing="1" w:after="100" w:afterAutospacing="1"/>
    </w:pPr>
    <w:rPr>
      <w:kern w:val="0"/>
      <w:sz w:val="22"/>
      <w:szCs w:val="20"/>
    </w:rPr>
  </w:style>
  <w:style w:type="paragraph" w:customStyle="1" w:styleId="100">
    <w:name w:val="修订1"/>
    <w:autoRedefine/>
    <w:qFormat/>
    <w:uiPriority w:val="0"/>
    <w:rPr>
      <w:rFonts w:ascii="Times New Roman" w:hAnsi="Times New Roman" w:eastAsia="宋体" w:cs="Times New Roman"/>
      <w:kern w:val="2"/>
      <w:sz w:val="21"/>
      <w:lang w:val="en-US" w:eastAsia="zh-CN" w:bidi="ar-SA"/>
    </w:rPr>
  </w:style>
  <w:style w:type="paragraph" w:customStyle="1" w:styleId="101">
    <w:name w:val="Char Char Char Char"/>
    <w:basedOn w:val="1"/>
    <w:autoRedefine/>
    <w:qFormat/>
    <w:uiPriority w:val="0"/>
    <w:rPr>
      <w:sz w:val="24"/>
      <w:szCs w:val="20"/>
    </w:rPr>
  </w:style>
  <w:style w:type="paragraph" w:customStyle="1" w:styleId="102">
    <w:name w:val="xl72"/>
    <w:basedOn w:val="1"/>
    <w:autoRedefine/>
    <w:qFormat/>
    <w:uiPriority w:val="0"/>
    <w:pPr>
      <w:widowControl/>
      <w:pBdr>
        <w:top w:val="single" w:color="000000" w:sz="8" w:space="0"/>
        <w:left w:val="single" w:color="000000" w:sz="8" w:space="0"/>
        <w:bottom w:val="single" w:color="000000" w:sz="8" w:space="0"/>
        <w:right w:val="single" w:color="000000" w:sz="8" w:space="0"/>
      </w:pBdr>
      <w:spacing w:before="100" w:beforeAutospacing="1" w:after="100" w:afterAutospacing="1"/>
    </w:pPr>
    <w:rPr>
      <w:rFonts w:ascii="宋体"/>
      <w:kern w:val="0"/>
      <w:sz w:val="20"/>
      <w:szCs w:val="20"/>
    </w:rPr>
  </w:style>
  <w:style w:type="paragraph" w:customStyle="1" w:styleId="103">
    <w:name w:val="xl66"/>
    <w:basedOn w:val="1"/>
    <w:autoRedefine/>
    <w:qFormat/>
    <w:uiPriority w:val="0"/>
    <w:pPr>
      <w:widowControl/>
      <w:pBdr>
        <w:bottom w:val="single" w:color="000000" w:sz="8" w:space="0"/>
        <w:right w:val="single" w:color="000000" w:sz="8" w:space="0"/>
      </w:pBdr>
      <w:spacing w:before="100" w:beforeAutospacing="1" w:after="100" w:afterAutospacing="1"/>
    </w:pPr>
    <w:rPr>
      <w:rFonts w:ascii="宋体"/>
      <w:kern w:val="0"/>
      <w:sz w:val="18"/>
      <w:szCs w:val="20"/>
    </w:rPr>
  </w:style>
  <w:style w:type="paragraph" w:customStyle="1" w:styleId="104">
    <w:name w:val="xl68"/>
    <w:basedOn w:val="1"/>
    <w:autoRedefine/>
    <w:qFormat/>
    <w:uiPriority w:val="0"/>
    <w:pPr>
      <w:widowControl/>
      <w:pBdr>
        <w:bottom w:val="single" w:color="000000" w:sz="8" w:space="0"/>
        <w:right w:val="single" w:color="000000" w:sz="8" w:space="0"/>
      </w:pBdr>
      <w:spacing w:before="100" w:beforeAutospacing="1" w:after="100" w:afterAutospacing="1"/>
    </w:pPr>
    <w:rPr>
      <w:kern w:val="0"/>
      <w:sz w:val="22"/>
      <w:szCs w:val="20"/>
    </w:rPr>
  </w:style>
  <w:style w:type="paragraph" w:customStyle="1" w:styleId="105">
    <w:name w:val="Char Char1 Char Char"/>
    <w:basedOn w:val="1"/>
    <w:autoRedefine/>
    <w:qFormat/>
    <w:uiPriority w:val="0"/>
    <w:rPr>
      <w:rFonts w:ascii="黑体" w:eastAsia="黑体"/>
      <w:kern w:val="0"/>
      <w:szCs w:val="20"/>
    </w:rPr>
  </w:style>
  <w:style w:type="paragraph" w:customStyle="1" w:styleId="106">
    <w:name w:val="xl79"/>
    <w:basedOn w:val="1"/>
    <w:autoRedefine/>
    <w:qFormat/>
    <w:uiPriority w:val="0"/>
    <w:pPr>
      <w:widowControl/>
      <w:pBdr>
        <w:bottom w:val="single" w:color="000000" w:sz="8" w:space="0"/>
        <w:right w:val="single" w:color="000000" w:sz="8" w:space="0"/>
      </w:pBdr>
      <w:spacing w:before="100" w:beforeAutospacing="1" w:after="100" w:afterAutospacing="1"/>
    </w:pPr>
    <w:rPr>
      <w:kern w:val="0"/>
      <w:sz w:val="22"/>
      <w:szCs w:val="20"/>
    </w:rPr>
  </w:style>
  <w:style w:type="paragraph" w:customStyle="1" w:styleId="107">
    <w:name w:val="xl7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kern w:val="0"/>
      <w:sz w:val="18"/>
      <w:szCs w:val="20"/>
    </w:rPr>
  </w:style>
  <w:style w:type="paragraph" w:customStyle="1" w:styleId="108">
    <w:name w:val="xl7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kern w:val="0"/>
      <w:sz w:val="18"/>
      <w:szCs w:val="20"/>
    </w:rPr>
  </w:style>
  <w:style w:type="character" w:customStyle="1" w:styleId="109">
    <w:name w:val="文档结构图 字符"/>
    <w:basedOn w:val="37"/>
    <w:link w:val="14"/>
    <w:autoRedefine/>
    <w:qFormat/>
    <w:uiPriority w:val="0"/>
    <w:rPr>
      <w:rFonts w:ascii="宋体"/>
      <w:kern w:val="2"/>
      <w:sz w:val="18"/>
      <w:lang w:val="zh-CN" w:eastAsia="zh-CN"/>
    </w:rPr>
  </w:style>
  <w:style w:type="paragraph" w:customStyle="1" w:styleId="110">
    <w:name w:val="1"/>
    <w:basedOn w:val="1"/>
    <w:autoRedefine/>
    <w:qFormat/>
    <w:uiPriority w:val="0"/>
    <w:rPr>
      <w:rFonts w:ascii="黑体" w:eastAsia="黑体"/>
      <w:kern w:val="0"/>
      <w:szCs w:val="20"/>
    </w:rPr>
  </w:style>
  <w:style w:type="paragraph" w:customStyle="1" w:styleId="111">
    <w:name w:val="GB-1.1.1.1"/>
    <w:basedOn w:val="112"/>
    <w:autoRedefine/>
    <w:qFormat/>
    <w:uiPriority w:val="0"/>
    <w:pPr>
      <w:tabs>
        <w:tab w:val="left" w:pos="840"/>
        <w:tab w:val="left" w:pos="1260"/>
      </w:tabs>
      <w:adjustRightInd/>
      <w:outlineLvl w:val="3"/>
    </w:pPr>
  </w:style>
  <w:style w:type="paragraph" w:customStyle="1" w:styleId="112">
    <w:name w:val="GB-1.1.1"/>
    <w:basedOn w:val="113"/>
    <w:autoRedefine/>
    <w:qFormat/>
    <w:uiPriority w:val="0"/>
    <w:pPr>
      <w:tabs>
        <w:tab w:val="left" w:pos="840"/>
        <w:tab w:val="left" w:pos="1260"/>
      </w:tabs>
      <w:adjustRightInd w:val="0"/>
      <w:ind w:left="1260"/>
      <w:outlineLvl w:val="2"/>
    </w:pPr>
    <w:rPr>
      <w:rFonts w:ascii="宋体" w:eastAsia="宋体"/>
    </w:rPr>
  </w:style>
  <w:style w:type="paragraph" w:customStyle="1" w:styleId="113">
    <w:name w:val="GB-1.1"/>
    <w:autoRedefine/>
    <w:qFormat/>
    <w:uiPriority w:val="0"/>
    <w:pPr>
      <w:tabs>
        <w:tab w:val="left" w:pos="840"/>
      </w:tabs>
      <w:ind w:left="840" w:hanging="420"/>
      <w:outlineLvl w:val="1"/>
    </w:pPr>
    <w:rPr>
      <w:rFonts w:ascii="黑体" w:hAnsi="Times New Roman" w:eastAsia="黑体" w:cs="Times New Roman"/>
      <w:sz w:val="21"/>
      <w:lang w:val="en-US" w:eastAsia="zh-CN" w:bidi="ar-SA"/>
    </w:rPr>
  </w:style>
  <w:style w:type="character" w:customStyle="1" w:styleId="114">
    <w:name w:val="批注框文本 字符"/>
    <w:basedOn w:val="37"/>
    <w:link w:val="23"/>
    <w:autoRedefine/>
    <w:qFormat/>
    <w:uiPriority w:val="0"/>
    <w:rPr>
      <w:kern w:val="2"/>
      <w:sz w:val="18"/>
      <w:lang w:val="zh-CN" w:eastAsia="zh-CN"/>
    </w:rPr>
  </w:style>
  <w:style w:type="paragraph" w:customStyle="1" w:styleId="115">
    <w:name w:val="xl77"/>
    <w:basedOn w:val="1"/>
    <w:autoRedefine/>
    <w:qFormat/>
    <w:uiPriority w:val="0"/>
    <w:pPr>
      <w:widowControl/>
      <w:pBdr>
        <w:top w:val="single" w:color="000000" w:sz="8" w:space="0"/>
        <w:bottom w:val="single" w:color="000000" w:sz="8" w:space="0"/>
        <w:right w:val="single" w:color="000000" w:sz="8" w:space="0"/>
      </w:pBdr>
      <w:spacing w:before="100" w:beforeAutospacing="1" w:after="100" w:afterAutospacing="1"/>
      <w:jc w:val="left"/>
    </w:pPr>
    <w:rPr>
      <w:rFonts w:ascii="宋体"/>
      <w:kern w:val="0"/>
      <w:sz w:val="24"/>
      <w:szCs w:val="20"/>
    </w:rPr>
  </w:style>
  <w:style w:type="character" w:customStyle="1" w:styleId="116">
    <w:name w:val="日期 字符"/>
    <w:basedOn w:val="37"/>
    <w:link w:val="22"/>
    <w:autoRedefine/>
    <w:qFormat/>
    <w:uiPriority w:val="0"/>
    <w:rPr>
      <w:kern w:val="2"/>
      <w:sz w:val="21"/>
    </w:rPr>
  </w:style>
  <w:style w:type="paragraph" w:customStyle="1" w:styleId="117">
    <w:name w:val="xl76"/>
    <w:basedOn w:val="1"/>
    <w:autoRedefine/>
    <w:qFormat/>
    <w:uiPriority w:val="0"/>
    <w:pPr>
      <w:widowControl/>
      <w:pBdr>
        <w:top w:val="single" w:color="000000" w:sz="8" w:space="0"/>
        <w:bottom w:val="single" w:color="000000" w:sz="8" w:space="0"/>
      </w:pBdr>
      <w:spacing w:before="100" w:beforeAutospacing="1" w:after="100" w:afterAutospacing="1"/>
      <w:jc w:val="left"/>
    </w:pPr>
    <w:rPr>
      <w:rFonts w:ascii="宋体"/>
      <w:kern w:val="0"/>
      <w:sz w:val="24"/>
      <w:szCs w:val="20"/>
    </w:rPr>
  </w:style>
  <w:style w:type="paragraph" w:customStyle="1" w:styleId="118">
    <w:name w:val="TOC 标题1"/>
    <w:basedOn w:val="2"/>
    <w:next w:val="1"/>
    <w:autoRedefine/>
    <w:qFormat/>
    <w:uiPriority w:val="0"/>
    <w:pPr>
      <w:widowControl/>
      <w:spacing w:before="480" w:after="0" w:line="276" w:lineRule="auto"/>
      <w:jc w:val="left"/>
      <w:outlineLvl w:val="9"/>
    </w:pPr>
    <w:rPr>
      <w:rFonts w:ascii="Cambria" w:hAnsi="Cambria"/>
      <w:color w:val="365F91"/>
      <w:kern w:val="0"/>
      <w:sz w:val="28"/>
    </w:rPr>
  </w:style>
  <w:style w:type="paragraph" w:customStyle="1" w:styleId="119">
    <w:name w:val="封面标准名称"/>
    <w:autoRedefine/>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0">
    <w:name w:val="xl85"/>
    <w:basedOn w:val="1"/>
    <w:autoRedefine/>
    <w:qFormat/>
    <w:uiPriority w:val="0"/>
    <w:pPr>
      <w:widowControl/>
      <w:pBdr>
        <w:bottom w:val="single" w:color="000000" w:sz="4" w:space="0"/>
        <w:right w:val="single" w:color="000000" w:sz="4" w:space="0"/>
      </w:pBdr>
      <w:spacing w:before="100" w:beforeAutospacing="1" w:after="100" w:afterAutospacing="1"/>
    </w:pPr>
    <w:rPr>
      <w:rFonts w:ascii="宋体"/>
      <w:kern w:val="0"/>
      <w:sz w:val="22"/>
      <w:szCs w:val="20"/>
    </w:rPr>
  </w:style>
  <w:style w:type="paragraph" w:customStyle="1" w:styleId="121">
    <w:name w:val="GB-1.1.1.1.1"/>
    <w:basedOn w:val="111"/>
    <w:autoRedefine/>
    <w:qFormat/>
    <w:uiPriority w:val="0"/>
    <w:pPr>
      <w:outlineLvl w:val="4"/>
    </w:pPr>
  </w:style>
  <w:style w:type="paragraph" w:customStyle="1" w:styleId="122">
    <w:name w:val="xl67"/>
    <w:basedOn w:val="1"/>
    <w:autoRedefine/>
    <w:qFormat/>
    <w:uiPriority w:val="0"/>
    <w:pPr>
      <w:widowControl/>
      <w:pBdr>
        <w:bottom w:val="single" w:color="000000" w:sz="8" w:space="0"/>
        <w:right w:val="single" w:color="000000" w:sz="8" w:space="0"/>
      </w:pBdr>
      <w:spacing w:before="100" w:beforeAutospacing="1" w:after="100" w:afterAutospacing="1"/>
    </w:pPr>
    <w:rPr>
      <w:kern w:val="0"/>
      <w:sz w:val="22"/>
      <w:szCs w:val="20"/>
    </w:rPr>
  </w:style>
  <w:style w:type="paragraph" w:customStyle="1" w:styleId="123">
    <w:name w:val="xl65"/>
    <w:basedOn w:val="1"/>
    <w:autoRedefine/>
    <w:qFormat/>
    <w:uiPriority w:val="0"/>
    <w:pPr>
      <w:widowControl/>
      <w:pBdr>
        <w:top w:val="single" w:color="000000" w:sz="8" w:space="0"/>
        <w:bottom w:val="single" w:color="000000" w:sz="8" w:space="0"/>
        <w:right w:val="single" w:color="000000" w:sz="8" w:space="0"/>
      </w:pBdr>
      <w:spacing w:before="100" w:beforeAutospacing="1" w:after="100" w:afterAutospacing="1"/>
    </w:pPr>
    <w:rPr>
      <w:rFonts w:ascii="宋体"/>
      <w:kern w:val="0"/>
      <w:sz w:val="18"/>
      <w:szCs w:val="20"/>
    </w:rPr>
  </w:style>
  <w:style w:type="paragraph" w:customStyle="1" w:styleId="124">
    <w:name w:val="Char"/>
    <w:basedOn w:val="1"/>
    <w:next w:val="5"/>
    <w:autoRedefine/>
    <w:qFormat/>
    <w:uiPriority w:val="0"/>
    <w:pPr>
      <w:widowControl/>
      <w:spacing w:after="160" w:line="240" w:lineRule="exact"/>
      <w:jc w:val="left"/>
    </w:pPr>
    <w:rPr>
      <w:rFonts w:ascii="Verdana" w:hAnsi="Verdana" w:eastAsia="仿宋_GB2312"/>
      <w:b/>
      <w:kern w:val="0"/>
      <w:sz w:val="28"/>
      <w:szCs w:val="20"/>
      <w:lang w:eastAsia="en-US"/>
    </w:rPr>
  </w:style>
  <w:style w:type="paragraph" w:customStyle="1" w:styleId="125">
    <w:name w:val="前言、引言标题"/>
    <w:next w:val="1"/>
    <w:autoRedefine/>
    <w:qFormat/>
    <w:uiPriority w:val="0"/>
    <w:pPr>
      <w:shd w:val="clear" w:color="FFFFFF" w:fill="FFFFFF"/>
      <w:tabs>
        <w:tab w:val="left" w:pos="2472"/>
      </w:tabs>
      <w:spacing w:before="640" w:after="560"/>
      <w:ind w:left="2472" w:hanging="132"/>
      <w:jc w:val="center"/>
      <w:outlineLvl w:val="0"/>
    </w:pPr>
    <w:rPr>
      <w:rFonts w:ascii="黑体" w:hAnsi="Times New Roman" w:eastAsia="黑体" w:cs="Times New Roman"/>
      <w:sz w:val="32"/>
      <w:lang w:val="en-US" w:eastAsia="zh-CN" w:bidi="ar-SA"/>
    </w:rPr>
  </w:style>
  <w:style w:type="paragraph" w:customStyle="1" w:styleId="126">
    <w:name w:val="xl75"/>
    <w:basedOn w:val="1"/>
    <w:autoRedefine/>
    <w:qFormat/>
    <w:uiPriority w:val="0"/>
    <w:pPr>
      <w:widowControl/>
      <w:pBdr>
        <w:left w:val="single" w:color="000000" w:sz="8" w:space="0"/>
        <w:bottom w:val="single" w:color="000000" w:sz="8" w:space="0"/>
        <w:right w:val="single" w:color="000000" w:sz="8" w:space="0"/>
      </w:pBdr>
      <w:spacing w:before="100" w:beforeAutospacing="1" w:after="100" w:afterAutospacing="1"/>
    </w:pPr>
    <w:rPr>
      <w:kern w:val="0"/>
      <w:szCs w:val="20"/>
    </w:rPr>
  </w:style>
  <w:style w:type="character" w:customStyle="1" w:styleId="127">
    <w:name w:val="正文文本缩进 字符"/>
    <w:basedOn w:val="37"/>
    <w:link w:val="17"/>
    <w:autoRedefine/>
    <w:qFormat/>
    <w:uiPriority w:val="0"/>
    <w:rPr>
      <w:kern w:val="2"/>
      <w:sz w:val="24"/>
      <w:lang w:val="zh-CN" w:eastAsia="zh-CN"/>
    </w:rPr>
  </w:style>
  <w:style w:type="character" w:customStyle="1" w:styleId="128">
    <w:name w:val="标题 字符"/>
    <w:basedOn w:val="37"/>
    <w:link w:val="33"/>
    <w:autoRedefine/>
    <w:qFormat/>
    <w:uiPriority w:val="0"/>
    <w:rPr>
      <w:rFonts w:ascii="Arial" w:hAnsi="Arial"/>
      <w:b/>
      <w:kern w:val="2"/>
      <w:sz w:val="32"/>
    </w:rPr>
  </w:style>
  <w:style w:type="paragraph" w:customStyle="1" w:styleId="129">
    <w:name w:val="xl74"/>
    <w:basedOn w:val="1"/>
    <w:autoRedefine/>
    <w:qFormat/>
    <w:uiPriority w:val="0"/>
    <w:pPr>
      <w:widowControl/>
      <w:pBdr>
        <w:left w:val="single" w:color="000000" w:sz="8" w:space="0"/>
        <w:bottom w:val="single" w:color="000000" w:sz="8" w:space="0"/>
        <w:right w:val="single" w:color="000000" w:sz="8" w:space="0"/>
      </w:pBdr>
      <w:spacing w:before="100" w:beforeAutospacing="1" w:after="100" w:afterAutospacing="1"/>
    </w:pPr>
    <w:rPr>
      <w:kern w:val="0"/>
      <w:sz w:val="18"/>
      <w:szCs w:val="20"/>
    </w:rPr>
  </w:style>
  <w:style w:type="character" w:customStyle="1" w:styleId="130">
    <w:name w:val="HTML 预设格式 字符"/>
    <w:basedOn w:val="37"/>
    <w:link w:val="31"/>
    <w:autoRedefine/>
    <w:qFormat/>
    <w:uiPriority w:val="0"/>
    <w:rPr>
      <w:rFonts w:ascii="Courier New" w:hAnsi="Courier New"/>
      <w:kern w:val="2"/>
      <w:lang w:val="zh-CN" w:eastAsia="zh-CN"/>
    </w:rPr>
  </w:style>
  <w:style w:type="paragraph" w:customStyle="1" w:styleId="131">
    <w:name w:val="Default"/>
    <w:autoRedefine/>
    <w:qFormat/>
    <w:uiPriority w:val="0"/>
    <w:pPr>
      <w:widowControl w:val="0"/>
      <w:autoSpaceDE w:val="0"/>
      <w:autoSpaceDN w:val="0"/>
      <w:adjustRightInd w:val="0"/>
    </w:pPr>
    <w:rPr>
      <w:rFonts w:ascii="新宋体" w:hAnsi="Times New Roman" w:eastAsia="新宋体" w:cs="Times New Roman"/>
      <w:color w:val="000000"/>
      <w:sz w:val="24"/>
      <w:lang w:val="en-US" w:eastAsia="zh-CN" w:bidi="ar-SA"/>
    </w:rPr>
  </w:style>
  <w:style w:type="paragraph" w:customStyle="1" w:styleId="132">
    <w:name w:val="xl73"/>
    <w:basedOn w:val="1"/>
    <w:autoRedefine/>
    <w:qFormat/>
    <w:uiPriority w:val="0"/>
    <w:pPr>
      <w:widowControl/>
      <w:pBdr>
        <w:bottom w:val="single" w:color="000000" w:sz="8" w:space="0"/>
        <w:right w:val="single" w:color="000000" w:sz="8" w:space="0"/>
      </w:pBdr>
      <w:spacing w:before="100" w:beforeAutospacing="1" w:after="100" w:afterAutospacing="1"/>
    </w:pPr>
    <w:rPr>
      <w:kern w:val="0"/>
      <w:sz w:val="18"/>
      <w:szCs w:val="20"/>
    </w:rPr>
  </w:style>
  <w:style w:type="paragraph" w:customStyle="1" w:styleId="133">
    <w:name w:val="xl84"/>
    <w:basedOn w:val="1"/>
    <w:autoRedefine/>
    <w:qFormat/>
    <w:uiPriority w:val="0"/>
    <w:pPr>
      <w:widowControl/>
      <w:pBdr>
        <w:bottom w:val="single" w:color="000000" w:sz="4" w:space="0"/>
        <w:right w:val="single" w:color="000000" w:sz="4" w:space="0"/>
      </w:pBdr>
      <w:spacing w:before="100" w:beforeAutospacing="1" w:after="100" w:afterAutospacing="1"/>
    </w:pPr>
    <w:rPr>
      <w:rFonts w:ascii="宋体"/>
      <w:kern w:val="0"/>
      <w:sz w:val="22"/>
      <w:szCs w:val="20"/>
    </w:rPr>
  </w:style>
  <w:style w:type="paragraph" w:customStyle="1" w:styleId="134">
    <w:name w:val="F-1级标题"/>
    <w:basedOn w:val="2"/>
    <w:next w:val="1"/>
    <w:autoRedefine/>
    <w:qFormat/>
    <w:uiPriority w:val="0"/>
    <w:pPr>
      <w:spacing w:before="400" w:after="400" w:line="240" w:lineRule="auto"/>
    </w:pPr>
    <w:rPr>
      <w:rFonts w:eastAsia="黑体"/>
      <w:b w:val="0"/>
      <w:bCs/>
      <w:sz w:val="36"/>
      <w:szCs w:val="44"/>
    </w:rPr>
  </w:style>
  <w:style w:type="paragraph" w:customStyle="1" w:styleId="135">
    <w:name w:val="F-1级目录"/>
    <w:basedOn w:val="26"/>
    <w:next w:val="1"/>
    <w:autoRedefine/>
    <w:semiHidden/>
    <w:qFormat/>
    <w:uiPriority w:val="0"/>
    <w:pPr>
      <w:tabs>
        <w:tab w:val="right" w:leader="dot" w:pos="8302"/>
        <w:tab w:val="clear" w:pos="8296"/>
      </w:tabs>
      <w:spacing w:line="360" w:lineRule="exact"/>
    </w:pPr>
    <w:rPr>
      <w:rFonts w:ascii="方正仿宋_GBK" w:eastAsia="方正仿宋_GBK"/>
      <w:b/>
      <w:sz w:val="24"/>
      <w:szCs w:val="24"/>
    </w:rPr>
  </w:style>
  <w:style w:type="paragraph" w:customStyle="1" w:styleId="136">
    <w:name w:val="F-2级标题"/>
    <w:basedOn w:val="3"/>
    <w:next w:val="1"/>
    <w:autoRedefine/>
    <w:qFormat/>
    <w:uiPriority w:val="0"/>
    <w:pPr>
      <w:tabs>
        <w:tab w:val="clear" w:pos="567"/>
      </w:tabs>
      <w:spacing w:before="100" w:after="100" w:line="240" w:lineRule="auto"/>
      <w:ind w:left="0" w:firstLine="0"/>
    </w:pPr>
    <w:rPr>
      <w:b w:val="0"/>
      <w:bCs/>
      <w:szCs w:val="32"/>
    </w:rPr>
  </w:style>
  <w:style w:type="paragraph" w:customStyle="1" w:styleId="137">
    <w:name w:val="F-2级目录"/>
    <w:basedOn w:val="29"/>
    <w:autoRedefine/>
    <w:semiHidden/>
    <w:qFormat/>
    <w:uiPriority w:val="0"/>
    <w:pPr>
      <w:spacing w:line="300" w:lineRule="exact"/>
      <w:ind w:left="100" w:leftChars="100"/>
    </w:pPr>
    <w:rPr>
      <w:rFonts w:eastAsia="黑体"/>
      <w:sz w:val="28"/>
      <w:szCs w:val="28"/>
    </w:rPr>
  </w:style>
  <w:style w:type="paragraph" w:customStyle="1" w:styleId="138">
    <w:name w:val="F-3级标题"/>
    <w:basedOn w:val="4"/>
    <w:next w:val="1"/>
    <w:autoRedefine/>
    <w:qFormat/>
    <w:uiPriority w:val="0"/>
    <w:pPr>
      <w:spacing w:before="60" w:after="60" w:line="240" w:lineRule="auto"/>
    </w:pPr>
    <w:rPr>
      <w:rFonts w:eastAsia="黑体"/>
      <w:b w:val="0"/>
      <w:sz w:val="30"/>
    </w:rPr>
  </w:style>
  <w:style w:type="paragraph" w:customStyle="1" w:styleId="139">
    <w:name w:val="F-3级目录"/>
    <w:basedOn w:val="19"/>
    <w:autoRedefine/>
    <w:semiHidden/>
    <w:qFormat/>
    <w:uiPriority w:val="0"/>
    <w:pPr>
      <w:ind w:left="200" w:leftChars="200"/>
      <w:jc w:val="both"/>
    </w:pPr>
    <w:rPr>
      <w:rFonts w:ascii="Times New Roman" w:hAnsi="Times New Roman"/>
      <w:i w:val="0"/>
      <w:sz w:val="24"/>
      <w:szCs w:val="24"/>
    </w:rPr>
  </w:style>
  <w:style w:type="paragraph" w:customStyle="1" w:styleId="140">
    <w:name w:val="F-4级标题"/>
    <w:basedOn w:val="5"/>
    <w:next w:val="1"/>
    <w:autoRedefine/>
    <w:qFormat/>
    <w:uiPriority w:val="0"/>
    <w:pPr>
      <w:tabs>
        <w:tab w:val="clear" w:pos="0"/>
      </w:tabs>
      <w:spacing w:before="20" w:after="20" w:line="240" w:lineRule="auto"/>
      <w:ind w:left="0" w:firstLine="0"/>
    </w:pPr>
    <w:rPr>
      <w:b w:val="0"/>
      <w:bCs/>
      <w:sz w:val="24"/>
      <w:szCs w:val="28"/>
    </w:rPr>
  </w:style>
  <w:style w:type="paragraph" w:customStyle="1" w:styleId="141">
    <w:name w:val="F-4级目录"/>
    <w:basedOn w:val="27"/>
    <w:autoRedefine/>
    <w:semiHidden/>
    <w:qFormat/>
    <w:uiPriority w:val="0"/>
    <w:pPr>
      <w:ind w:left="300" w:leftChars="300"/>
      <w:jc w:val="both"/>
    </w:pPr>
    <w:rPr>
      <w:rFonts w:ascii="Times New Roman" w:hAnsi="Times New Roman"/>
      <w:sz w:val="24"/>
      <w:szCs w:val="24"/>
    </w:rPr>
  </w:style>
  <w:style w:type="paragraph" w:customStyle="1" w:styleId="142">
    <w:name w:val="F-表格-5号字"/>
    <w:basedOn w:val="1"/>
    <w:next w:val="1"/>
    <w:autoRedefine/>
    <w:qFormat/>
    <w:uiPriority w:val="0"/>
    <w:pPr>
      <w:spacing w:line="240" w:lineRule="exact"/>
    </w:pPr>
  </w:style>
  <w:style w:type="paragraph" w:customStyle="1" w:styleId="143">
    <w:name w:val="F-表格-小5号字"/>
    <w:basedOn w:val="1"/>
    <w:next w:val="1"/>
    <w:autoRedefine/>
    <w:qFormat/>
    <w:uiPriority w:val="0"/>
    <w:pPr>
      <w:spacing w:line="200" w:lineRule="exact"/>
    </w:pPr>
    <w:rPr>
      <w:sz w:val="18"/>
    </w:rPr>
  </w:style>
  <w:style w:type="paragraph" w:customStyle="1" w:styleId="144">
    <w:name w:val="F正文"/>
    <w:basedOn w:val="1"/>
    <w:autoRedefine/>
    <w:qFormat/>
    <w:uiPriority w:val="0"/>
    <w:pPr>
      <w:spacing w:line="360" w:lineRule="auto"/>
      <w:ind w:firstLine="200" w:firstLineChars="200"/>
    </w:pPr>
    <w:rPr>
      <w:sz w:val="24"/>
    </w:rPr>
  </w:style>
  <w:style w:type="paragraph" w:customStyle="1" w:styleId="145">
    <w:name w:val="font7"/>
    <w:basedOn w:val="1"/>
    <w:autoRedefine/>
    <w:semiHidden/>
    <w:qFormat/>
    <w:uiPriority w:val="0"/>
    <w:pPr>
      <w:widowControl/>
      <w:spacing w:before="100" w:beforeAutospacing="1" w:after="100" w:afterAutospacing="1"/>
      <w:jc w:val="left"/>
    </w:pPr>
    <w:rPr>
      <w:kern w:val="0"/>
      <w:sz w:val="20"/>
      <w:szCs w:val="20"/>
    </w:rPr>
  </w:style>
  <w:style w:type="paragraph" w:customStyle="1" w:styleId="146">
    <w:name w:val="xl22"/>
    <w:basedOn w:val="1"/>
    <w:autoRedefine/>
    <w:semiHidden/>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kern w:val="0"/>
      <w:sz w:val="24"/>
    </w:rPr>
  </w:style>
  <w:style w:type="paragraph" w:customStyle="1" w:styleId="147">
    <w:name w:val="xl23"/>
    <w:basedOn w:val="1"/>
    <w:autoRedefine/>
    <w:semiHidden/>
    <w:qFormat/>
    <w:uiPriority w:val="0"/>
    <w:pPr>
      <w:widowControl/>
      <w:spacing w:before="100" w:beforeAutospacing="1" w:after="100" w:afterAutospacing="1"/>
    </w:pPr>
    <w:rPr>
      <w:rFonts w:ascii="宋体" w:hAnsi="宋体" w:cs="宋体"/>
      <w:kern w:val="0"/>
      <w:sz w:val="24"/>
    </w:rPr>
  </w:style>
  <w:style w:type="paragraph" w:customStyle="1" w:styleId="148">
    <w:name w:val="xl24"/>
    <w:basedOn w:val="1"/>
    <w:autoRedefine/>
    <w:semiHidden/>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cs="宋体"/>
      <w:kern w:val="0"/>
      <w:sz w:val="20"/>
      <w:szCs w:val="20"/>
    </w:rPr>
  </w:style>
  <w:style w:type="paragraph" w:customStyle="1" w:styleId="149">
    <w:name w:val="xl25"/>
    <w:basedOn w:val="1"/>
    <w:autoRedefine/>
    <w:semiHidden/>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kern w:val="0"/>
      <w:sz w:val="20"/>
      <w:szCs w:val="20"/>
    </w:rPr>
  </w:style>
  <w:style w:type="paragraph" w:customStyle="1" w:styleId="150">
    <w:name w:val="xl26"/>
    <w:basedOn w:val="1"/>
    <w:autoRedefine/>
    <w:semiHidden/>
    <w:qFormat/>
    <w:uiPriority w:val="0"/>
    <w:pPr>
      <w:widowControl/>
      <w:spacing w:before="100" w:beforeAutospacing="1" w:after="100" w:afterAutospacing="1"/>
    </w:pPr>
    <w:rPr>
      <w:rFonts w:ascii="宋体" w:hAnsi="宋体" w:cs="宋体"/>
      <w:color w:val="FF0000"/>
      <w:kern w:val="0"/>
      <w:sz w:val="24"/>
    </w:rPr>
  </w:style>
  <w:style w:type="paragraph" w:customStyle="1" w:styleId="151">
    <w:name w:val="xl27"/>
    <w:basedOn w:val="1"/>
    <w:autoRedefine/>
    <w:semiHidden/>
    <w:qFormat/>
    <w:uiPriority w:val="0"/>
    <w:pPr>
      <w:widowControl/>
      <w:pBdr>
        <w:top w:val="single" w:color="auto" w:sz="4" w:space="0"/>
        <w:left w:val="single" w:color="auto" w:sz="4" w:space="0"/>
        <w:bottom w:val="single" w:color="auto" w:sz="4" w:space="0"/>
        <w:right w:val="single" w:color="auto" w:sz="4" w:space="0"/>
      </w:pBdr>
      <w:shd w:val="clear" w:color="auto" w:fill="3366FF"/>
      <w:spacing w:before="100" w:beforeAutospacing="1" w:after="100" w:afterAutospacing="1"/>
      <w:textAlignment w:val="center"/>
    </w:pPr>
    <w:rPr>
      <w:rFonts w:ascii="宋体" w:hAnsi="宋体" w:cs="宋体"/>
      <w:kern w:val="0"/>
      <w:sz w:val="20"/>
      <w:szCs w:val="20"/>
    </w:rPr>
  </w:style>
  <w:style w:type="paragraph" w:customStyle="1" w:styleId="152">
    <w:name w:val="xl28"/>
    <w:basedOn w:val="1"/>
    <w:autoRedefine/>
    <w:semiHidden/>
    <w:qFormat/>
    <w:uiPriority w:val="0"/>
    <w:pPr>
      <w:widowControl/>
      <w:shd w:val="clear" w:color="auto" w:fill="3366FF"/>
      <w:spacing w:before="100" w:beforeAutospacing="1" w:after="100" w:afterAutospacing="1"/>
    </w:pPr>
    <w:rPr>
      <w:rFonts w:ascii="宋体" w:hAnsi="宋体" w:cs="宋体"/>
      <w:kern w:val="0"/>
      <w:sz w:val="24"/>
    </w:rPr>
  </w:style>
  <w:style w:type="paragraph" w:customStyle="1" w:styleId="153">
    <w:name w:val="xl29"/>
    <w:basedOn w:val="1"/>
    <w:autoRedefine/>
    <w:semiHidden/>
    <w:qFormat/>
    <w:uiPriority w:val="0"/>
    <w:pPr>
      <w:widowControl/>
      <w:spacing w:before="100" w:beforeAutospacing="1" w:after="100" w:afterAutospacing="1"/>
      <w:textAlignment w:val="center"/>
    </w:pPr>
    <w:rPr>
      <w:rFonts w:ascii="宋体" w:hAnsi="宋体" w:cs="宋体"/>
      <w:kern w:val="0"/>
      <w:sz w:val="20"/>
      <w:szCs w:val="20"/>
    </w:rPr>
  </w:style>
  <w:style w:type="paragraph" w:customStyle="1" w:styleId="154">
    <w:name w:val="xl30"/>
    <w:basedOn w:val="1"/>
    <w:autoRedefine/>
    <w:semiHidden/>
    <w:qFormat/>
    <w:uiPriority w:val="0"/>
    <w:pPr>
      <w:widowControl/>
      <w:pBdr>
        <w:bottom w:val="single" w:color="auto" w:sz="4" w:space="0"/>
      </w:pBdr>
      <w:spacing w:before="100" w:beforeAutospacing="1" w:after="100" w:afterAutospacing="1"/>
      <w:jc w:val="left"/>
    </w:pPr>
    <w:rPr>
      <w:rFonts w:ascii="宋体" w:hAnsi="宋体" w:cs="宋体"/>
      <w:kern w:val="0"/>
      <w:sz w:val="24"/>
    </w:rPr>
  </w:style>
  <w:style w:type="paragraph" w:customStyle="1" w:styleId="155">
    <w:name w:val="xl31"/>
    <w:basedOn w:val="1"/>
    <w:autoRedefine/>
    <w:semiHidden/>
    <w:qFormat/>
    <w:uiPriority w:val="0"/>
    <w:pPr>
      <w:widowControl/>
      <w:pBdr>
        <w:bottom w:val="single" w:color="auto" w:sz="4" w:space="0"/>
      </w:pBdr>
      <w:spacing w:before="100" w:beforeAutospacing="1" w:after="100" w:afterAutospacing="1"/>
      <w:textAlignment w:val="center"/>
    </w:pPr>
    <w:rPr>
      <w:rFonts w:ascii="宋体" w:hAnsi="宋体" w:cs="宋体"/>
      <w:kern w:val="0"/>
      <w:sz w:val="20"/>
      <w:szCs w:val="20"/>
    </w:rPr>
  </w:style>
  <w:style w:type="paragraph" w:customStyle="1" w:styleId="156">
    <w:name w:val="xl32"/>
    <w:basedOn w:val="1"/>
    <w:autoRedefine/>
    <w:semiHidden/>
    <w:qFormat/>
    <w:uiPriority w:val="0"/>
    <w:pPr>
      <w:widowControl/>
      <w:spacing w:before="100" w:beforeAutospacing="1" w:after="100" w:afterAutospacing="1"/>
      <w:textAlignment w:val="center"/>
    </w:pPr>
    <w:rPr>
      <w:rFonts w:ascii="宋体" w:hAnsi="宋体" w:cs="宋体"/>
      <w:kern w:val="0"/>
      <w:sz w:val="20"/>
      <w:szCs w:val="20"/>
    </w:rPr>
  </w:style>
  <w:style w:type="paragraph" w:customStyle="1" w:styleId="157">
    <w:name w:val="xl33"/>
    <w:basedOn w:val="1"/>
    <w:autoRedefine/>
    <w:semiHidden/>
    <w:qFormat/>
    <w:uiPriority w:val="0"/>
    <w:pPr>
      <w:widowControl/>
      <w:pBdr>
        <w:bottom w:val="single" w:color="auto" w:sz="4" w:space="0"/>
      </w:pBdr>
      <w:spacing w:before="100" w:beforeAutospacing="1" w:after="100" w:afterAutospacing="1"/>
      <w:textAlignment w:val="center"/>
    </w:pPr>
    <w:rPr>
      <w:rFonts w:ascii="宋体" w:hAnsi="宋体" w:cs="宋体"/>
      <w:kern w:val="0"/>
      <w:sz w:val="20"/>
      <w:szCs w:val="20"/>
    </w:rPr>
  </w:style>
  <w:style w:type="paragraph" w:customStyle="1" w:styleId="158">
    <w:name w:val="xl34"/>
    <w:basedOn w:val="1"/>
    <w:autoRedefine/>
    <w:semiHidden/>
    <w:qFormat/>
    <w:uiPriority w:val="0"/>
    <w:pPr>
      <w:widowControl/>
      <w:spacing w:before="100" w:beforeAutospacing="1" w:after="100" w:afterAutospacing="1"/>
      <w:textAlignment w:val="center"/>
    </w:pPr>
    <w:rPr>
      <w:rFonts w:ascii="宋体" w:hAnsi="宋体" w:cs="宋体"/>
      <w:kern w:val="0"/>
      <w:sz w:val="20"/>
      <w:szCs w:val="20"/>
    </w:rPr>
  </w:style>
  <w:style w:type="paragraph" w:customStyle="1" w:styleId="159">
    <w:name w:val="xl55"/>
    <w:basedOn w:val="1"/>
    <w:autoRedefine/>
    <w:semiHidden/>
    <w:qFormat/>
    <w:uiPriority w:val="0"/>
    <w:pPr>
      <w:widowControl/>
      <w:pBdr>
        <w:left w:val="single" w:color="auto" w:sz="4" w:space="0"/>
        <w:bottom w:val="single" w:color="auto" w:sz="4" w:space="0"/>
        <w:right w:val="double" w:color="auto" w:sz="6" w:space="0"/>
      </w:pBdr>
      <w:spacing w:before="100" w:beforeAutospacing="1" w:after="100" w:afterAutospacing="1"/>
      <w:textAlignment w:val="center"/>
    </w:pPr>
    <w:rPr>
      <w:rFonts w:ascii="Arial Unicode MS" w:hAnsi="Arial Unicode MS" w:eastAsia="Arial Unicode MS" w:cs="Arial Unicode MS"/>
      <w:b/>
      <w:bCs/>
      <w:kern w:val="0"/>
      <w:sz w:val="24"/>
    </w:rPr>
  </w:style>
  <w:style w:type="table" w:customStyle="1" w:styleId="160">
    <w:name w:val="网格型1"/>
    <w:basedOn w:val="3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1">
    <w:name w:val="纯文本 字符"/>
    <w:basedOn w:val="37"/>
    <w:link w:val="20"/>
    <w:autoRedefine/>
    <w:qFormat/>
    <w:uiPriority w:val="0"/>
    <w:rPr>
      <w:rFonts w:ascii="宋体" w:hAnsi="Courier New"/>
      <w:kern w:val="2"/>
      <w:sz w:val="21"/>
      <w:szCs w:val="21"/>
      <w:lang w:val="zh-CN" w:eastAsia="zh-CN"/>
    </w:rPr>
  </w:style>
  <w:style w:type="paragraph" w:customStyle="1" w:styleId="162">
    <w:name w:val="封面标准英文名称"/>
    <w:autoRedefine/>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character" w:customStyle="1" w:styleId="163">
    <w:name w:val="fb1"/>
    <w:autoRedefine/>
    <w:qFormat/>
    <w:uiPriority w:val="0"/>
    <w:rPr>
      <w:color w:val="062989"/>
    </w:rPr>
  </w:style>
  <w:style w:type="character" w:customStyle="1" w:styleId="164">
    <w:name w:val="fontstyle01"/>
    <w:autoRedefine/>
    <w:qFormat/>
    <w:uiPriority w:val="0"/>
    <w:rPr>
      <w:rFonts w:hint="eastAsia" w:ascii="E-BZ+ZMDH1D-1" w:eastAsia="E-BZ+ZMDH1D-1"/>
      <w:color w:val="000000"/>
      <w:sz w:val="22"/>
      <w:szCs w:val="22"/>
    </w:rPr>
  </w:style>
  <w:style w:type="character" w:customStyle="1" w:styleId="165">
    <w:name w:val="fontstyle21"/>
    <w:autoRedefine/>
    <w:qFormat/>
    <w:uiPriority w:val="0"/>
    <w:rPr>
      <w:rFonts w:hint="eastAsia" w:ascii="宋体" w:hAnsi="宋体" w:eastAsia="宋体"/>
      <w:color w:val="000000"/>
      <w:sz w:val="22"/>
      <w:szCs w:val="22"/>
    </w:rPr>
  </w:style>
  <w:style w:type="character" w:customStyle="1" w:styleId="166">
    <w:name w:val="fontstyle31"/>
    <w:autoRedefine/>
    <w:qFormat/>
    <w:uiPriority w:val="0"/>
    <w:rPr>
      <w:rFonts w:hint="default" w:ascii="FZSSK--GBK1-00+ZMDH1D-3" w:hAnsi="FZSSK--GBK1-00+ZMDH1D-3"/>
      <w:color w:val="000000"/>
      <w:sz w:val="22"/>
      <w:szCs w:val="22"/>
    </w:rPr>
  </w:style>
  <w:style w:type="paragraph" w:customStyle="1" w:styleId="167">
    <w:name w:val="表格内容"/>
    <w:basedOn w:val="1"/>
    <w:link w:val="168"/>
    <w:autoRedefine/>
    <w:qFormat/>
    <w:uiPriority w:val="0"/>
    <w:rPr>
      <w:sz w:val="18"/>
      <w:szCs w:val="21"/>
      <w:lang w:val="zh-CN"/>
    </w:rPr>
  </w:style>
  <w:style w:type="character" w:customStyle="1" w:styleId="168">
    <w:name w:val="表格内容 Char"/>
    <w:link w:val="167"/>
    <w:autoRedefine/>
    <w:qFormat/>
    <w:uiPriority w:val="0"/>
    <w:rPr>
      <w:kern w:val="2"/>
      <w:sz w:val="18"/>
      <w:szCs w:val="21"/>
      <w:lang w:val="zh-CN" w:eastAsia="zh-CN"/>
    </w:rPr>
  </w:style>
  <w:style w:type="paragraph" w:customStyle="1" w:styleId="169">
    <w:name w:val="标准文件_方框数字列项"/>
    <w:basedOn w:val="1"/>
    <w:autoRedefine/>
    <w:qFormat/>
    <w:uiPriority w:val="0"/>
    <w:pPr>
      <w:widowControl/>
      <w:numPr>
        <w:ilvl w:val="0"/>
        <w:numId w:val="8"/>
      </w:numPr>
      <w:autoSpaceDE w:val="0"/>
      <w:autoSpaceDN w:val="0"/>
      <w:ind w:firstLine="0"/>
    </w:pPr>
    <w:rPr>
      <w:rFonts w:ascii="宋体"/>
      <w:kern w:val="0"/>
      <w:szCs w:val="20"/>
    </w:rPr>
  </w:style>
  <w:style w:type="character" w:customStyle="1" w:styleId="170">
    <w:name w:val="Body text|1_"/>
    <w:basedOn w:val="37"/>
    <w:link w:val="171"/>
    <w:autoRedefine/>
    <w:qFormat/>
    <w:uiPriority w:val="0"/>
    <w:rPr>
      <w:rFonts w:ascii="宋体" w:hAnsi="宋体" w:cs="宋体"/>
      <w:sz w:val="28"/>
      <w:szCs w:val="28"/>
      <w:lang w:val="zh-TW" w:eastAsia="zh-TW" w:bidi="zh-TW"/>
    </w:rPr>
  </w:style>
  <w:style w:type="paragraph" w:customStyle="1" w:styleId="171">
    <w:name w:val="Body text|1"/>
    <w:basedOn w:val="1"/>
    <w:link w:val="170"/>
    <w:qFormat/>
    <w:uiPriority w:val="0"/>
    <w:pPr>
      <w:spacing w:line="353" w:lineRule="auto"/>
      <w:ind w:firstLine="400"/>
      <w:jc w:val="left"/>
    </w:pPr>
    <w:rPr>
      <w:rFonts w:ascii="宋体" w:hAnsi="宋体" w:cs="宋体"/>
      <w:kern w:val="0"/>
      <w:sz w:val="28"/>
      <w:szCs w:val="28"/>
      <w:lang w:val="zh-TW" w:eastAsia="zh-TW" w:bidi="zh-TW"/>
    </w:rPr>
  </w:style>
  <w:style w:type="character" w:styleId="172">
    <w:name w:val="Placeholder Text"/>
    <w:basedOn w:val="37"/>
    <w:semiHidden/>
    <w:qFormat/>
    <w:uiPriority w:val="99"/>
    <w:rPr>
      <w:color w:val="808080"/>
    </w:rPr>
  </w:style>
  <w:style w:type="table" w:customStyle="1" w:styleId="173">
    <w:name w:val="三线表"/>
    <w:basedOn w:val="35"/>
    <w:qFormat/>
    <w:uiPriority w:val="99"/>
    <w:rPr>
      <w:rFonts w:asciiTheme="minorHAnsi" w:hAnsiTheme="minorHAnsi" w:eastAsiaTheme="minorEastAsia" w:cstheme="minorBidi"/>
    </w:rPr>
    <w:tblPr>
      <w:tblBorders>
        <w:top w:val="single" w:color="auto" w:sz="4" w:space="0"/>
        <w:bottom w:val="single" w:color="auto" w:sz="4" w:space="0"/>
      </w:tblBorders>
    </w:tblPr>
    <w:tblStylePr w:type="firstRow">
      <w:tcPr>
        <w:tcBorders>
          <w:bottom w:val="single" w:color="auto" w:sz="4" w:space="0"/>
        </w:tcBorders>
      </w:tcPr>
    </w:tblStylePr>
  </w:style>
  <w:style w:type="paragraph" w:customStyle="1" w:styleId="174">
    <w:name w:val="标准文件_表格"/>
    <w:basedOn w:val="175"/>
    <w:qFormat/>
    <w:uiPriority w:val="0"/>
    <w:pPr>
      <w:jc w:val="center"/>
    </w:pPr>
    <w:rPr>
      <w:sz w:val="18"/>
    </w:rPr>
  </w:style>
  <w:style w:type="paragraph" w:customStyle="1" w:styleId="175">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76">
    <w:name w:val="标准文件_正文表标题"/>
    <w:next w:val="1"/>
    <w:qFormat/>
    <w:uiPriority w:val="0"/>
    <w:p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77">
    <w:name w:val="标准文件_一级无标题"/>
    <w:basedOn w:val="178"/>
    <w:qFormat/>
    <w:uiPriority w:val="0"/>
    <w:pPr>
      <w:spacing w:beforeLines="0" w:afterLines="0"/>
      <w:outlineLvl w:val="9"/>
    </w:pPr>
    <w:rPr>
      <w:rFonts w:ascii="宋体" w:eastAsia="宋体"/>
    </w:rPr>
  </w:style>
  <w:style w:type="paragraph" w:customStyle="1" w:styleId="178">
    <w:name w:val="标准文件_一级条标题"/>
    <w:basedOn w:val="179"/>
    <w:next w:val="175"/>
    <w:qFormat/>
    <w:uiPriority w:val="0"/>
    <w:pPr>
      <w:numPr>
        <w:ilvl w:val="2"/>
      </w:numPr>
      <w:spacing w:beforeLines="50" w:afterLines="50"/>
      <w:ind w:left="0"/>
      <w:outlineLvl w:val="1"/>
    </w:pPr>
  </w:style>
  <w:style w:type="paragraph" w:customStyle="1" w:styleId="179">
    <w:name w:val="标准文件_章标题"/>
    <w:next w:val="175"/>
    <w:qFormat/>
    <w:uiPriority w:val="0"/>
    <w:pPr>
      <w:numPr>
        <w:ilvl w:val="1"/>
        <w:numId w:val="9"/>
      </w:numPr>
      <w:spacing w:beforeLines="100" w:afterLines="100"/>
      <w:jc w:val="both"/>
      <w:outlineLvl w:val="0"/>
    </w:pPr>
    <w:rPr>
      <w:rFonts w:ascii="黑体" w:hAnsi="Times New Roman" w:eastAsia="黑体" w:cs="Times New Roman"/>
      <w:sz w:val="21"/>
      <w:lang w:val="en-US" w:eastAsia="zh-CN" w:bidi="ar-SA"/>
    </w:rPr>
  </w:style>
  <w:style w:type="paragraph" w:customStyle="1" w:styleId="180">
    <w:name w:val="修订2"/>
    <w:hidden/>
    <w:unhideWhenUsed/>
    <w:qFormat/>
    <w:uiPriority w:val="99"/>
    <w:rPr>
      <w:rFonts w:ascii="Times New Roman" w:hAnsi="Times New Roman" w:eastAsia="宋体" w:cs="Times New Roman"/>
      <w:kern w:val="2"/>
      <w:sz w:val="21"/>
      <w:szCs w:val="24"/>
      <w:lang w:val="en-US" w:eastAsia="zh-CN" w:bidi="ar-SA"/>
    </w:rPr>
  </w:style>
  <w:style w:type="character" w:customStyle="1" w:styleId="181">
    <w:name w:val="thisit"/>
    <w:basedOn w:val="37"/>
    <w:qFormat/>
    <w:uiPriority w:val="0"/>
  </w:style>
  <w:style w:type="character" w:customStyle="1" w:styleId="182">
    <w:name w:val="bzrq"/>
    <w:basedOn w:val="37"/>
    <w:qFormat/>
    <w:uiPriority w:val="0"/>
  </w:style>
  <w:style w:type="character" w:customStyle="1" w:styleId="183">
    <w:name w:val="bzmc"/>
    <w:basedOn w:val="37"/>
    <w:qFormat/>
    <w:uiPriority w:val="0"/>
  </w:style>
  <w:style w:type="character" w:customStyle="1" w:styleId="184">
    <w:name w:val="bzmc1"/>
    <w:basedOn w:val="37"/>
    <w:qFormat/>
    <w:uiPriority w:val="0"/>
  </w:style>
  <w:style w:type="character" w:customStyle="1" w:styleId="185">
    <w:name w:val="bzmc2"/>
    <w:basedOn w:val="37"/>
    <w:qFormat/>
    <w:uiPriority w:val="0"/>
  </w:style>
  <w:style w:type="character" w:customStyle="1" w:styleId="186">
    <w:name w:val="f_r6"/>
    <w:basedOn w:val="37"/>
    <w:qFormat/>
    <w:uiPriority w:val="0"/>
  </w:style>
  <w:style w:type="character" w:customStyle="1" w:styleId="187">
    <w:name w:val="sysj"/>
    <w:basedOn w:val="37"/>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7EDE65-1597-4CE2-B2FE-5C8AB891277E}">
  <ds:schemaRefs/>
</ds:datastoreItem>
</file>

<file path=docProps/app.xml><?xml version="1.0" encoding="utf-8"?>
<Properties xmlns="http://schemas.openxmlformats.org/officeDocument/2006/extended-properties" xmlns:vt="http://schemas.openxmlformats.org/officeDocument/2006/docPropsVTypes">
  <Template>Normal.dotm</Template>
  <Company>WWW.YlmF.CoM</Company>
  <Pages>24</Pages>
  <Words>8965</Words>
  <Characters>9623</Characters>
  <Lines>73</Lines>
  <Paragraphs>20</Paragraphs>
  <TotalTime>1</TotalTime>
  <ScaleCrop>false</ScaleCrop>
  <LinksUpToDate>false</LinksUpToDate>
  <CharactersWithSpaces>9778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2025-07-25T18:32:00Z</dcterms:created>
  <dc:creator>Microsoft</dc:creator>
  <cp:lastModifiedBy>west</cp:lastModifiedBy>
  <cp:lastPrinted>2023-12-22T01:00:00Z</cp:lastPrinted>
  <dcterms:modified xsi:type="dcterms:W3CDTF">2025-09-02T04:13:18Z</dcterms:modified>
  <dc:title>广西地方标准《脱氢枞酸》（征求意见稿）</dc:title>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KSOSaveFontToCloudKey">
    <vt:lpwstr>617413157_btnclosed</vt:lpwstr>
  </property>
  <property fmtid="{D5CDD505-2E9C-101B-9397-08002B2CF9AE}" pid="4" name="ICV">
    <vt:lpwstr>0A1C1429E7764A938AC6B8D071EBF6F0</vt:lpwstr>
  </property>
  <property fmtid="{D5CDD505-2E9C-101B-9397-08002B2CF9AE}" pid="5" name="KSOTemplateDocerSaveRecord">
    <vt:lpwstr>eyJoZGlkIjoiOTRkNjRhYzg5MmUzZTI4NGJlZGUyMWQyZGMxMzY1NWYiLCJ1c2VySWQiOiIyNTcxNzMzMDcifQ==</vt:lpwstr>
  </property>
</Properties>
</file>